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00" w:lineRule="auto"/>
        <w:jc w:val="center"/>
        <w:rPr/>
      </w:pPr>
      <w:bookmarkStart w:colFirst="0" w:colLast="0" w:name="_liq3kdefcjk4" w:id="0"/>
      <w:bookmarkEnd w:id="0"/>
      <w:r w:rsidDel="00000000" w:rsidR="00000000" w:rsidRPr="00000000">
        <w:rPr>
          <w:b w:val="1"/>
          <w:color w:val="b31e3d"/>
          <w:sz w:val="26"/>
          <w:szCs w:val="26"/>
          <w:rtl w:val="0"/>
        </w:rPr>
        <w:t xml:space="preserve">AFA Annual Meeting Benefits Worksheet</w:t>
      </w:r>
      <w:r w:rsidDel="00000000" w:rsidR="00000000" w:rsidRPr="00000000">
        <w:rPr>
          <w:rtl w:val="0"/>
        </w:rPr>
      </w:r>
    </w:p>
    <w:p w:rsidR="00000000" w:rsidDel="00000000" w:rsidP="00000000" w:rsidRDefault="00000000" w:rsidRPr="00000000" w14:paraId="00000002">
      <w:pPr>
        <w:spacing w:after="0" w:before="200" w:lineRule="auto"/>
        <w:rPr>
          <w:b w:val="1"/>
          <w:u w:val="single"/>
        </w:rPr>
      </w:pPr>
      <w:r w:rsidDel="00000000" w:rsidR="00000000" w:rsidRPr="00000000">
        <w:rPr>
          <w:rtl w:val="0"/>
        </w:rPr>
        <w:t xml:space="preserve">My main reasons for attending the 2025 AFA Annual Meeting are to benefit from the many learning and networking opportunities. I also believe the innovation and inspiration I’ll gain from the conference will help me complete the following projects:</w:t>
        <w:br w:type="textWrapping"/>
        <w:br w:type="textWrapping"/>
      </w:r>
      <w:r w:rsidDel="00000000" w:rsidR="00000000" w:rsidRPr="00000000">
        <w:rPr>
          <w:b w:val="1"/>
          <w:u w:val="single"/>
          <w:rtl w:val="0"/>
        </w:rPr>
        <w:t xml:space="preserve">Current Projects</w:t>
      </w:r>
    </w:p>
    <w:p w:rsidR="00000000" w:rsidDel="00000000" w:rsidP="00000000" w:rsidRDefault="00000000" w:rsidRPr="00000000" w14:paraId="00000003">
      <w:pPr>
        <w:spacing w:before="0" w:lineRule="auto"/>
        <w:rPr>
          <w:i w:val="1"/>
          <w:color w:val="b31e3d"/>
        </w:rPr>
      </w:pPr>
      <w:r w:rsidDel="00000000" w:rsidR="00000000" w:rsidRPr="00000000">
        <w:rPr>
          <w:i w:val="1"/>
          <w:color w:val="b31e3d"/>
          <w:rtl w:val="0"/>
        </w:rPr>
        <w:t xml:space="preserve">Enter details of your upcoming projects. Highlight a specific “pain point” or challenge associated with the project (if applicable).</w:t>
      </w:r>
    </w:p>
    <w:p w:rsidR="00000000" w:rsidDel="00000000" w:rsidP="00000000" w:rsidRDefault="00000000" w:rsidRPr="00000000" w14:paraId="00000004">
      <w:pPr>
        <w:numPr>
          <w:ilvl w:val="0"/>
          <w:numId w:val="2"/>
        </w:numPr>
        <w:spacing w:before="200" w:lineRule="auto"/>
        <w:ind w:left="720" w:hanging="360"/>
      </w:pPr>
      <w:r w:rsidDel="00000000" w:rsidR="00000000" w:rsidRPr="00000000">
        <w:rPr>
          <w:rtl w:val="0"/>
        </w:rPr>
        <w:t xml:space="preserve">Project:</w:t>
      </w:r>
    </w:p>
    <w:p w:rsidR="00000000" w:rsidDel="00000000" w:rsidP="00000000" w:rsidRDefault="00000000" w:rsidRPr="00000000" w14:paraId="00000005">
      <w:pPr>
        <w:ind w:left="720" w:firstLine="0"/>
        <w:rPr/>
      </w:pPr>
      <w:r w:rsidDel="00000000" w:rsidR="00000000" w:rsidRPr="00000000">
        <w:rPr>
          <w:rtl w:val="0"/>
        </w:rPr>
        <w:t xml:space="preserve">Challenge or “Pain Point”:</w:t>
      </w:r>
    </w:p>
    <w:p w:rsidR="00000000" w:rsidDel="00000000" w:rsidP="00000000" w:rsidRDefault="00000000" w:rsidRPr="00000000" w14:paraId="00000006">
      <w:pPr>
        <w:numPr>
          <w:ilvl w:val="0"/>
          <w:numId w:val="2"/>
        </w:numPr>
        <w:spacing w:before="200" w:lineRule="auto"/>
        <w:ind w:left="720" w:hanging="360"/>
      </w:pPr>
      <w:r w:rsidDel="00000000" w:rsidR="00000000" w:rsidRPr="00000000">
        <w:rPr>
          <w:rtl w:val="0"/>
        </w:rPr>
        <w:t xml:space="preserve">Project:</w:t>
      </w:r>
    </w:p>
    <w:p w:rsidR="00000000" w:rsidDel="00000000" w:rsidP="00000000" w:rsidRDefault="00000000" w:rsidRPr="00000000" w14:paraId="00000007">
      <w:pPr>
        <w:ind w:left="720" w:firstLine="0"/>
        <w:rPr/>
      </w:pPr>
      <w:r w:rsidDel="00000000" w:rsidR="00000000" w:rsidRPr="00000000">
        <w:rPr>
          <w:rtl w:val="0"/>
        </w:rPr>
        <w:t xml:space="preserve">Challenge or “Pain Point”:</w:t>
      </w:r>
    </w:p>
    <w:p w:rsidR="00000000" w:rsidDel="00000000" w:rsidP="00000000" w:rsidRDefault="00000000" w:rsidRPr="00000000" w14:paraId="00000008">
      <w:pPr>
        <w:numPr>
          <w:ilvl w:val="0"/>
          <w:numId w:val="2"/>
        </w:numPr>
        <w:spacing w:before="200" w:lineRule="auto"/>
        <w:ind w:left="720" w:hanging="360"/>
      </w:pPr>
      <w:r w:rsidDel="00000000" w:rsidR="00000000" w:rsidRPr="00000000">
        <w:rPr>
          <w:rtl w:val="0"/>
        </w:rPr>
        <w:t xml:space="preserve">Project:</w:t>
      </w:r>
    </w:p>
    <w:p w:rsidR="00000000" w:rsidDel="00000000" w:rsidP="00000000" w:rsidRDefault="00000000" w:rsidRPr="00000000" w14:paraId="00000009">
      <w:pPr>
        <w:ind w:left="720" w:firstLine="0"/>
        <w:rPr/>
      </w:pPr>
      <w:r w:rsidDel="00000000" w:rsidR="00000000" w:rsidRPr="00000000">
        <w:rPr>
          <w:rtl w:val="0"/>
        </w:rPr>
        <w:t xml:space="preserve">Challenge or “Pain Point”:</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ind w:left="0" w:firstLine="0"/>
        <w:rPr>
          <w:b w:val="1"/>
          <w:u w:val="single"/>
        </w:rPr>
      </w:pPr>
      <w:r w:rsidDel="00000000" w:rsidR="00000000" w:rsidRPr="00000000">
        <w:rPr>
          <w:b w:val="1"/>
          <w:u w:val="single"/>
          <w:rtl w:val="0"/>
        </w:rPr>
        <w:t xml:space="preserve">Value Proposition Statements</w:t>
      </w:r>
    </w:p>
    <w:p w:rsidR="00000000" w:rsidDel="00000000" w:rsidP="00000000" w:rsidRDefault="00000000" w:rsidRPr="00000000" w14:paraId="0000000C">
      <w:pPr>
        <w:rPr>
          <w:i w:val="1"/>
          <w:color w:val="b31e3d"/>
        </w:rPr>
      </w:pPr>
      <w:r w:rsidDel="00000000" w:rsidR="00000000" w:rsidRPr="00000000">
        <w:rPr>
          <w:i w:val="1"/>
          <w:color w:val="b31e3d"/>
          <w:rtl w:val="0"/>
        </w:rPr>
        <w:t xml:space="preserve">Review the </w:t>
      </w:r>
      <w:hyperlink r:id="rId6">
        <w:r w:rsidDel="00000000" w:rsidR="00000000" w:rsidRPr="00000000">
          <w:rPr>
            <w:i w:val="1"/>
            <w:color w:val="1155cc"/>
            <w:u w:val="single"/>
            <w:rtl w:val="0"/>
          </w:rPr>
          <w:t xml:space="preserve">Annual Meeting website</w:t>
        </w:r>
      </w:hyperlink>
      <w:r w:rsidDel="00000000" w:rsidR="00000000" w:rsidRPr="00000000">
        <w:rPr>
          <w:i w:val="1"/>
          <w:rtl w:val="0"/>
        </w:rPr>
        <w:t xml:space="preserve"> </w:t>
      </w:r>
      <w:r w:rsidDel="00000000" w:rsidR="00000000" w:rsidRPr="00000000">
        <w:rPr>
          <w:i w:val="1"/>
          <w:color w:val="b31e3d"/>
          <w:rtl w:val="0"/>
        </w:rPr>
        <w:t xml:space="preserve">(including the </w:t>
      </w:r>
      <w:hyperlink r:id="rId7">
        <w:r w:rsidDel="00000000" w:rsidR="00000000" w:rsidRPr="00000000">
          <w:rPr>
            <w:i w:val="1"/>
            <w:color w:val="1155cc"/>
            <w:u w:val="single"/>
            <w:rtl w:val="0"/>
          </w:rPr>
          <w:t xml:space="preserve">schedule</w:t>
        </w:r>
      </w:hyperlink>
      <w:r w:rsidDel="00000000" w:rsidR="00000000" w:rsidRPr="00000000">
        <w:rPr>
          <w:i w:val="1"/>
          <w:color w:val="b31e3d"/>
          <w:rtl w:val="0"/>
        </w:rPr>
        <w:t xml:space="preserve">) and identify specific ways the Annual Meeting can provide value to your work. Consider the following phrase as a template for your statement(s):</w:t>
      </w:r>
    </w:p>
    <w:p w:rsidR="00000000" w:rsidDel="00000000" w:rsidP="00000000" w:rsidRDefault="00000000" w:rsidRPr="00000000" w14:paraId="0000000D">
      <w:pPr>
        <w:spacing w:before="200" w:lineRule="auto"/>
        <w:jc w:val="center"/>
        <w:rPr>
          <w:i w:val="1"/>
          <w:color w:val="b31e3d"/>
        </w:rPr>
      </w:pPr>
      <w:r w:rsidDel="00000000" w:rsidR="00000000" w:rsidRPr="00000000">
        <w:rPr>
          <w:i w:val="1"/>
          <w:color w:val="b31e3d"/>
          <w:rtl w:val="0"/>
        </w:rPr>
        <w:t xml:space="preserve">The Annual Meeting can help me solve/address (X) by doing/offering/connecting me with (Y).</w:t>
      </w:r>
    </w:p>
    <w:p w:rsidR="00000000" w:rsidDel="00000000" w:rsidP="00000000" w:rsidRDefault="00000000" w:rsidRPr="00000000" w14:paraId="0000000E">
      <w:pPr>
        <w:numPr>
          <w:ilvl w:val="0"/>
          <w:numId w:val="3"/>
        </w:numPr>
        <w:spacing w:before="200" w:lineRule="auto"/>
        <w:ind w:left="720" w:hanging="360"/>
      </w:pPr>
      <w:r w:rsidDel="00000000" w:rsidR="00000000" w:rsidRPr="00000000">
        <w:rPr>
          <w:rtl w:val="0"/>
        </w:rPr>
        <w:t xml:space="preserve">[Statement]</w:t>
      </w:r>
    </w:p>
    <w:p w:rsidR="00000000" w:rsidDel="00000000" w:rsidP="00000000" w:rsidRDefault="00000000" w:rsidRPr="00000000" w14:paraId="0000000F">
      <w:pPr>
        <w:numPr>
          <w:ilvl w:val="0"/>
          <w:numId w:val="3"/>
        </w:numPr>
        <w:spacing w:before="200" w:lineRule="auto"/>
        <w:ind w:left="720" w:hanging="360"/>
      </w:pPr>
      <w:r w:rsidDel="00000000" w:rsidR="00000000" w:rsidRPr="00000000">
        <w:rPr>
          <w:rtl w:val="0"/>
        </w:rPr>
        <w:t xml:space="preserve">[Statement]</w:t>
      </w:r>
    </w:p>
    <w:p w:rsidR="00000000" w:rsidDel="00000000" w:rsidP="00000000" w:rsidRDefault="00000000" w:rsidRPr="00000000" w14:paraId="00000010">
      <w:pPr>
        <w:numPr>
          <w:ilvl w:val="0"/>
          <w:numId w:val="3"/>
        </w:numPr>
        <w:spacing w:before="200" w:lineRule="auto"/>
        <w:ind w:left="720" w:hanging="360"/>
      </w:pPr>
      <w:r w:rsidDel="00000000" w:rsidR="00000000" w:rsidRPr="00000000">
        <w:rPr>
          <w:rtl w:val="0"/>
        </w:rPr>
        <w:t xml:space="preserve">[Statement]</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spacing w:before="0" w:lineRule="auto"/>
        <w:rPr>
          <w:b w:val="1"/>
          <w:u w:val="single"/>
        </w:rPr>
      </w:pPr>
      <w:r w:rsidDel="00000000" w:rsidR="00000000" w:rsidRPr="00000000">
        <w:rPr>
          <w:b w:val="1"/>
          <w:u w:val="single"/>
          <w:rtl w:val="0"/>
        </w:rPr>
        <w:t xml:space="preserve">Educational Opportunities</w:t>
      </w:r>
    </w:p>
    <w:p w:rsidR="00000000" w:rsidDel="00000000" w:rsidP="00000000" w:rsidRDefault="00000000" w:rsidRPr="00000000" w14:paraId="00000013">
      <w:pPr>
        <w:rPr>
          <w:i w:val="1"/>
          <w:highlight w:val="yellow"/>
        </w:rPr>
      </w:pPr>
      <w:r w:rsidDel="00000000" w:rsidR="00000000" w:rsidRPr="00000000">
        <w:rPr>
          <w:rtl w:val="0"/>
        </w:rPr>
        <w:t xml:space="preserve">This year’s educational program at the 2025 AFA Annual Meeting includes sessions touching on several important topics for our campus. After reviewing the </w:t>
      </w:r>
      <w:hyperlink r:id="rId8">
        <w:r w:rsidDel="00000000" w:rsidR="00000000" w:rsidRPr="00000000">
          <w:rPr>
            <w:color w:val="1155cc"/>
            <w:u w:val="single"/>
            <w:rtl w:val="0"/>
          </w:rPr>
          <w:t xml:space="preserve">conference schedule</w:t>
        </w:r>
      </w:hyperlink>
      <w:r w:rsidDel="00000000" w:rsidR="00000000" w:rsidRPr="00000000">
        <w:rPr>
          <w:rtl w:val="0"/>
        </w:rPr>
        <w:t xml:space="preserve">, I have highlighted a number of specific educational sessions that will allow me to learn about new trends and best practices in the field:</w:t>
        <w:br w:type="textWrapping"/>
      </w:r>
      <w:r w:rsidDel="00000000" w:rsidR="00000000" w:rsidRPr="00000000">
        <w:rPr>
          <w:i w:val="1"/>
          <w:color w:val="b31e3d"/>
          <w:rtl w:val="0"/>
        </w:rPr>
        <w:t xml:space="preserve">Note: The full list of Educational Programs will be published in October.</w:t>
      </w:r>
      <w:r w:rsidDel="00000000" w:rsidR="00000000" w:rsidRPr="00000000">
        <w:rPr>
          <w:rtl w:val="0"/>
        </w:rPr>
      </w:r>
    </w:p>
    <w:p w:rsidR="00000000" w:rsidDel="00000000" w:rsidP="00000000" w:rsidRDefault="00000000" w:rsidRPr="00000000" w14:paraId="00000014">
      <w:pPr>
        <w:numPr>
          <w:ilvl w:val="0"/>
          <w:numId w:val="4"/>
        </w:numPr>
        <w:spacing w:before="200" w:lineRule="auto"/>
        <w:ind w:left="720" w:hanging="360"/>
      </w:pPr>
      <w:r w:rsidDel="00000000" w:rsidR="00000000" w:rsidRPr="00000000">
        <w:rPr>
          <w:rtl w:val="0"/>
        </w:rPr>
        <w:t xml:space="preserve">[list ed session]</w:t>
      </w:r>
    </w:p>
    <w:p w:rsidR="00000000" w:rsidDel="00000000" w:rsidP="00000000" w:rsidRDefault="00000000" w:rsidRPr="00000000" w14:paraId="00000015">
      <w:pPr>
        <w:numPr>
          <w:ilvl w:val="0"/>
          <w:numId w:val="4"/>
        </w:numPr>
        <w:spacing w:before="200" w:lineRule="auto"/>
        <w:ind w:left="720" w:hanging="360"/>
      </w:pPr>
      <w:r w:rsidDel="00000000" w:rsidR="00000000" w:rsidRPr="00000000">
        <w:rPr>
          <w:rtl w:val="0"/>
        </w:rPr>
        <w:t xml:space="preserve">[list ed session]</w:t>
      </w:r>
    </w:p>
    <w:p w:rsidR="00000000" w:rsidDel="00000000" w:rsidP="00000000" w:rsidRDefault="00000000" w:rsidRPr="00000000" w14:paraId="00000016">
      <w:pPr>
        <w:numPr>
          <w:ilvl w:val="0"/>
          <w:numId w:val="4"/>
        </w:numPr>
        <w:spacing w:before="200" w:lineRule="auto"/>
        <w:ind w:left="720" w:hanging="360"/>
      </w:pPr>
      <w:r w:rsidDel="00000000" w:rsidR="00000000" w:rsidRPr="00000000">
        <w:rPr>
          <w:rtl w:val="0"/>
        </w:rPr>
        <w:t xml:space="preserve">[list ed session]</w:t>
      </w:r>
    </w:p>
    <w:p w:rsidR="00000000" w:rsidDel="00000000" w:rsidP="00000000" w:rsidRDefault="00000000" w:rsidRPr="00000000" w14:paraId="00000017">
      <w:pPr>
        <w:numPr>
          <w:ilvl w:val="0"/>
          <w:numId w:val="4"/>
        </w:numPr>
        <w:spacing w:after="200" w:before="200" w:lineRule="auto"/>
        <w:ind w:left="720" w:hanging="360"/>
      </w:pPr>
      <w:r w:rsidDel="00000000" w:rsidR="00000000" w:rsidRPr="00000000">
        <w:rPr>
          <w:rtl w:val="0"/>
        </w:rPr>
        <w:t xml:space="preserve">[list ed session]</w:t>
      </w:r>
    </w:p>
    <w:p w:rsidR="00000000" w:rsidDel="00000000" w:rsidP="00000000" w:rsidRDefault="00000000" w:rsidRPr="00000000" w14:paraId="00000018">
      <w:pPr>
        <w:rPr/>
      </w:pPr>
      <w:r w:rsidDel="00000000" w:rsidR="00000000" w:rsidRPr="00000000">
        <w:rPr>
          <w:rtl w:val="0"/>
        </w:rPr>
        <w:t xml:space="preserve">I believe that attending these sessions (as well as others) will not only give me access to the latest trends in the fraternity/sorority profession but will also provide me with professional development opportunities at an affordable cost.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before="0" w:lineRule="auto"/>
        <w:rPr/>
      </w:pPr>
      <w:r w:rsidDel="00000000" w:rsidR="00000000" w:rsidRPr="00000000">
        <w:rPr>
          <w:b w:val="1"/>
          <w:u w:val="single"/>
          <w:rtl w:val="0"/>
        </w:rPr>
        <w:t xml:space="preserve">Networking Opportunities</w:t>
      </w:r>
      <w:r w:rsidDel="00000000" w:rsidR="00000000" w:rsidRPr="00000000">
        <w:rPr>
          <w:rtl w:val="0"/>
        </w:rPr>
      </w:r>
    </w:p>
    <w:p w:rsidR="00000000" w:rsidDel="00000000" w:rsidP="00000000" w:rsidRDefault="00000000" w:rsidRPr="00000000" w14:paraId="0000001B">
      <w:pPr>
        <w:spacing w:before="0" w:lineRule="auto"/>
        <w:rPr/>
      </w:pPr>
      <w:r w:rsidDel="00000000" w:rsidR="00000000" w:rsidRPr="00000000">
        <w:rPr>
          <w:rtl w:val="0"/>
        </w:rPr>
        <w:t xml:space="preserve">I’m also planning to meet with the following fraternity/sorority industry partners during the AFA Annual Meeting:</w:t>
      </w:r>
    </w:p>
    <w:p w:rsidR="00000000" w:rsidDel="00000000" w:rsidP="00000000" w:rsidRDefault="00000000" w:rsidRPr="00000000" w14:paraId="0000001C">
      <w:pPr>
        <w:spacing w:before="200" w:lineRule="auto"/>
        <w:rPr>
          <w:i w:val="1"/>
          <w:color w:val="b31e3d"/>
        </w:rPr>
      </w:pPr>
      <w:r w:rsidDel="00000000" w:rsidR="00000000" w:rsidRPr="00000000">
        <w:rPr>
          <w:i w:val="1"/>
          <w:color w:val="b31e3d"/>
          <w:rtl w:val="0"/>
        </w:rPr>
        <w:t xml:space="preserve">Choose the most relevant fraternity/sorority partners for your department and provide reasons why you are interested in meeting them. Consider organization staff/volunteers, other campus-based staff members, and exhibitors/partners that can help to elevate your work.</w:t>
      </w:r>
    </w:p>
    <w:p w:rsidR="00000000" w:rsidDel="00000000" w:rsidP="00000000" w:rsidRDefault="00000000" w:rsidRPr="00000000" w14:paraId="0000001D">
      <w:pPr>
        <w:numPr>
          <w:ilvl w:val="0"/>
          <w:numId w:val="1"/>
        </w:numPr>
        <w:spacing w:before="200" w:lineRule="auto"/>
        <w:ind w:left="720" w:hanging="360"/>
      </w:pPr>
      <w:r w:rsidDel="00000000" w:rsidR="00000000" w:rsidRPr="00000000">
        <w:rPr>
          <w:rtl w:val="0"/>
        </w:rPr>
        <w:t xml:space="preserve">Partner:</w:t>
      </w:r>
    </w:p>
    <w:p w:rsidR="00000000" w:rsidDel="00000000" w:rsidP="00000000" w:rsidRDefault="00000000" w:rsidRPr="00000000" w14:paraId="0000001E">
      <w:pPr>
        <w:spacing w:before="0" w:lineRule="auto"/>
        <w:ind w:left="720" w:firstLine="0"/>
        <w:rPr/>
      </w:pPr>
      <w:r w:rsidDel="00000000" w:rsidR="00000000" w:rsidRPr="00000000">
        <w:rPr>
          <w:rtl w:val="0"/>
        </w:rPr>
        <w:t xml:space="preserve">Reason why:</w:t>
      </w:r>
      <w:r w:rsidDel="00000000" w:rsidR="00000000" w:rsidRPr="00000000">
        <w:rPr>
          <w:rtl w:val="0"/>
        </w:rPr>
      </w:r>
    </w:p>
    <w:p w:rsidR="00000000" w:rsidDel="00000000" w:rsidP="00000000" w:rsidRDefault="00000000" w:rsidRPr="00000000" w14:paraId="0000001F">
      <w:pPr>
        <w:numPr>
          <w:ilvl w:val="0"/>
          <w:numId w:val="1"/>
        </w:numPr>
        <w:spacing w:before="200" w:lineRule="auto"/>
        <w:ind w:left="720" w:hanging="360"/>
      </w:pPr>
      <w:r w:rsidDel="00000000" w:rsidR="00000000" w:rsidRPr="00000000">
        <w:rPr>
          <w:rtl w:val="0"/>
        </w:rPr>
        <w:t xml:space="preserve">Partner:</w:t>
      </w:r>
    </w:p>
    <w:p w:rsidR="00000000" w:rsidDel="00000000" w:rsidP="00000000" w:rsidRDefault="00000000" w:rsidRPr="00000000" w14:paraId="00000020">
      <w:pPr>
        <w:ind w:left="720" w:firstLine="0"/>
        <w:rPr/>
      </w:pPr>
      <w:r w:rsidDel="00000000" w:rsidR="00000000" w:rsidRPr="00000000">
        <w:rPr>
          <w:rtl w:val="0"/>
        </w:rPr>
        <w:t xml:space="preserve">Reason why:</w:t>
      </w:r>
    </w:p>
    <w:p w:rsidR="00000000" w:rsidDel="00000000" w:rsidP="00000000" w:rsidRDefault="00000000" w:rsidRPr="00000000" w14:paraId="00000021">
      <w:pPr>
        <w:numPr>
          <w:ilvl w:val="0"/>
          <w:numId w:val="1"/>
        </w:numPr>
        <w:spacing w:before="200" w:lineRule="auto"/>
        <w:ind w:left="720" w:hanging="360"/>
      </w:pPr>
      <w:r w:rsidDel="00000000" w:rsidR="00000000" w:rsidRPr="00000000">
        <w:rPr>
          <w:rtl w:val="0"/>
        </w:rPr>
        <w:t xml:space="preserve">Partner:</w:t>
      </w:r>
    </w:p>
    <w:p w:rsidR="00000000" w:rsidDel="00000000" w:rsidP="00000000" w:rsidRDefault="00000000" w:rsidRPr="00000000" w14:paraId="00000022">
      <w:pPr>
        <w:ind w:left="720" w:firstLine="0"/>
        <w:rPr/>
      </w:pPr>
      <w:r w:rsidDel="00000000" w:rsidR="00000000" w:rsidRPr="00000000">
        <w:rPr>
          <w:rtl w:val="0"/>
        </w:rPr>
        <w:t xml:space="preserve">Reason why: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u w:val="single"/>
          <w:rtl w:val="0"/>
        </w:rPr>
        <w:t xml:space="preserve">Certification Opportunities</w:t>
      </w:r>
      <w:r w:rsidDel="00000000" w:rsidR="00000000" w:rsidRPr="00000000">
        <w:rPr>
          <w:rtl w:val="0"/>
        </w:rPr>
      </w:r>
    </w:p>
    <w:p w:rsidR="00000000" w:rsidDel="00000000" w:rsidP="00000000" w:rsidRDefault="00000000" w:rsidRPr="00000000" w14:paraId="00000025">
      <w:pPr>
        <w:rPr/>
      </w:pPr>
      <w:r w:rsidDel="00000000" w:rsidR="00000000" w:rsidRPr="00000000">
        <w:rPr>
          <w:i w:val="1"/>
          <w:color w:val="b31e3d"/>
          <w:rtl w:val="0"/>
        </w:rPr>
        <w:t xml:space="preserve">For Certified Student Affairs Educators (CSAEd) only:</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 will also qualify for Continuing Education credits for my participation at conference sessions, which can be used for my </w:t>
      </w:r>
      <w:hyperlink r:id="rId9">
        <w:r w:rsidDel="00000000" w:rsidR="00000000" w:rsidRPr="00000000">
          <w:rPr>
            <w:color w:val="1155cc"/>
            <w:u w:val="single"/>
            <w:rtl w:val="0"/>
          </w:rPr>
          <w:t xml:space="preserve">Student Affairs Educator Certification</w:t>
        </w:r>
      </w:hyperlink>
      <w:r w:rsidDel="00000000" w:rsidR="00000000" w:rsidRPr="00000000">
        <w:rPr>
          <w:rtl w:val="0"/>
        </w:rPr>
        <w:t xml:space="preserve"> which includes a specialty credential in </w:t>
      </w:r>
      <w:hyperlink r:id="rId10">
        <w:r w:rsidDel="00000000" w:rsidR="00000000" w:rsidRPr="00000000">
          <w:rPr>
            <w:color w:val="1155cc"/>
            <w:u w:val="single"/>
            <w:rtl w:val="0"/>
          </w:rPr>
          <w:t xml:space="preserve">Fraternity/Sorority Life</w:t>
        </w:r>
      </w:hyperlink>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u w:val="single"/>
          <w:rtl w:val="0"/>
        </w:rPr>
        <w:t xml:space="preserve">Other Opportunities</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In addition, below I have included a chart detailing some of the departmental needs in general, my objectives in particular, and how my attendance at the 2025 AFA Annual Meeting can help me meet these needs and objectives.</w:t>
      </w:r>
    </w:p>
    <w:p w:rsidR="00000000" w:rsidDel="00000000" w:rsidP="00000000" w:rsidRDefault="00000000" w:rsidRPr="00000000" w14:paraId="0000002A">
      <w:pPr>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75"/>
        <w:gridCol w:w="2790"/>
        <w:gridCol w:w="4095"/>
        <w:tblGridChange w:id="0">
          <w:tblGrid>
            <w:gridCol w:w="2475"/>
            <w:gridCol w:w="2790"/>
            <w:gridCol w:w="4095"/>
          </w:tblGrid>
        </w:tblGridChange>
      </w:tblGrid>
      <w:tr>
        <w:trPr>
          <w:cantSplit w:val="0"/>
          <w:trHeight w:val="715.95703125" w:hRule="atLeast"/>
          <w:tblHeader w:val="0"/>
        </w:trPr>
        <w:tc>
          <w:tcPr>
            <w:vAlign w:val="center"/>
          </w:tcPr>
          <w:p w:rsidR="00000000" w:rsidDel="00000000" w:rsidP="00000000" w:rsidRDefault="00000000" w:rsidRPr="00000000" w14:paraId="0000002B">
            <w:pPr>
              <w:rPr>
                <w:b w:val="1"/>
              </w:rPr>
            </w:pPr>
            <w:r w:rsidDel="00000000" w:rsidR="00000000" w:rsidRPr="00000000">
              <w:rPr>
                <w:b w:val="1"/>
                <w:rtl w:val="0"/>
              </w:rPr>
              <w:t xml:space="preserve">Department’s Need:</w:t>
            </w:r>
          </w:p>
        </w:tc>
        <w:tc>
          <w:tcPr>
            <w:vAlign w:val="center"/>
          </w:tcPr>
          <w:p w:rsidR="00000000" w:rsidDel="00000000" w:rsidP="00000000" w:rsidRDefault="00000000" w:rsidRPr="00000000" w14:paraId="0000002C">
            <w:pPr>
              <w:rPr>
                <w:b w:val="1"/>
              </w:rPr>
            </w:pPr>
            <w:r w:rsidDel="00000000" w:rsidR="00000000" w:rsidRPr="00000000">
              <w:rPr>
                <w:b w:val="1"/>
                <w:rtl w:val="0"/>
              </w:rPr>
              <w:t xml:space="preserve">My Objective:</w:t>
            </w:r>
          </w:p>
        </w:tc>
        <w:tc>
          <w:tcPr>
            <w:vAlign w:val="center"/>
          </w:tcPr>
          <w:p w:rsidR="00000000" w:rsidDel="00000000" w:rsidP="00000000" w:rsidRDefault="00000000" w:rsidRPr="00000000" w14:paraId="0000002D">
            <w:pPr>
              <w:rPr>
                <w:b w:val="1"/>
              </w:rPr>
            </w:pPr>
            <w:r w:rsidDel="00000000" w:rsidR="00000000" w:rsidRPr="00000000">
              <w:rPr>
                <w:b w:val="1"/>
                <w:rtl w:val="0"/>
              </w:rPr>
              <w:t xml:space="preserve">2025 AFA Annual Meeting offers…</w:t>
            </w:r>
          </w:p>
        </w:tc>
      </w:tr>
      <w:tr>
        <w:trPr>
          <w:cantSplit w:val="0"/>
          <w:trHeight w:val="530.0000000000001" w:hRule="atLeast"/>
          <w:tblHeader w:val="0"/>
        </w:trPr>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r>
      <w:tr>
        <w:trPr>
          <w:cantSplit w:val="0"/>
          <w:trHeight w:val="530.0000000000001" w:hRule="atLeast"/>
          <w:tblHeader w:val="0"/>
        </w:trPr>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r>
      <w:tr>
        <w:trPr>
          <w:cantSplit w:val="0"/>
          <w:trHeight w:val="530.0000000000001" w:hRule="atLeast"/>
          <w:tblHeader w:val="0"/>
        </w:trPr>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r>
      <w:tr>
        <w:trPr>
          <w:cantSplit w:val="0"/>
          <w:trHeight w:val="530.0000000000001" w:hRule="atLeast"/>
          <w:tblHeader w:val="0"/>
        </w:trPr>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tabs>
        <w:tab w:val="center" w:leader="none" w:pos="4680"/>
        <w:tab w:val="right" w:leader="none" w:pos="9360"/>
      </w:tabs>
      <w:spacing w:line="240" w:lineRule="auto"/>
      <w:rPr/>
    </w:pPr>
    <w:r w:rsidDel="00000000" w:rsidR="00000000" w:rsidRPr="00000000">
      <w:rPr>
        <w:rFonts w:ascii="Calibri" w:cs="Calibri" w:eastAsia="Calibri" w:hAnsi="Calibri"/>
      </w:rPr>
      <w:drawing>
        <wp:inline distB="0" distT="0" distL="0" distR="0">
          <wp:extent cx="5943600" cy="489773"/>
          <wp:effectExtent b="0" l="0" r="0" t="0"/>
          <wp:docPr descr="A close up of a logo&#10;&#10;Description automatically generated" id="1" name="image1.png"/>
          <a:graphic>
            <a:graphicData uri="http://schemas.openxmlformats.org/drawingml/2006/picture">
              <pic:pic>
                <pic:nvPicPr>
                  <pic:cNvPr descr="A close up of a logo&#10;&#10;Description automatically generated" id="0" name="image1.png"/>
                  <pic:cNvPicPr preferRelativeResize="0"/>
                </pic:nvPicPr>
                <pic:blipFill>
                  <a:blip r:embed="rId1"/>
                  <a:srcRect b="0" l="0" r="3473" t="0"/>
                  <a:stretch>
                    <a:fillRect/>
                  </a:stretch>
                </pic:blipFill>
                <pic:spPr>
                  <a:xfrm>
                    <a:off x="0" y="0"/>
                    <a:ext cx="5943600" cy="489773"/>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studentaffairscertification.org/certifications/fraternity-and-sorority-life-student-affairs-certification" TargetMode="External"/><Relationship Id="rId9" Type="http://schemas.openxmlformats.org/officeDocument/2006/relationships/hyperlink" Target="https://studentaffairscertification.org/certifications/student-affairs-educator-certification" TargetMode="External"/><Relationship Id="rId5" Type="http://schemas.openxmlformats.org/officeDocument/2006/relationships/styles" Target="styles.xml"/><Relationship Id="rId6" Type="http://schemas.openxmlformats.org/officeDocument/2006/relationships/hyperlink" Target="https://afa1976.org/annual-meeting/" TargetMode="External"/><Relationship Id="rId7" Type="http://schemas.openxmlformats.org/officeDocument/2006/relationships/hyperlink" Target="https://afa1976.org/annual-meeting/schedule/" TargetMode="External"/><Relationship Id="rId8" Type="http://schemas.openxmlformats.org/officeDocument/2006/relationships/hyperlink" Target="https://afa1976.org/annual-meeting/schedu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