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center"/>
        <w:rPr/>
      </w:pPr>
      <w:bookmarkStart w:colFirst="0" w:colLast="0" w:name="_liq3kdefcjk4" w:id="0"/>
      <w:bookmarkEnd w:id="0"/>
      <w:r w:rsidDel="00000000" w:rsidR="00000000" w:rsidRPr="00000000">
        <w:rPr>
          <w:b w:val="1"/>
          <w:bCs w:val="1"/>
          <w:color w:val="b31e3d"/>
          <w:sz w:val="26"/>
          <w:szCs w:val="26"/>
          <w:rtl w:val="0"/>
        </w:rPr>
        <w:t xml:space="preserve">AFA Annual Meeting Benefits Worksheet</w:t>
      </w:r>
      <w:r w:rsidDel="00000000" w:rsidR="00000000" w:rsidRPr="00000000">
        <w:rPr>
          <w:rtl w:val="0"/>
        </w:rPr>
      </w:r>
    </w:p>
    <w:p w:rsidR="00000000" w:rsidDel="00000000" w:rsidP="00000000" w:rsidRDefault="00000000" w:rsidRPr="00000000" w14:paraId="00000002">
      <w:pPr>
        <w:spacing w:after="0" w:before="200" w:lineRule="auto"/>
        <w:rPr>
          <w:b w:val="1"/>
          <w:bCs w:val="1"/>
          <w:u w:val="single"/>
        </w:rPr>
      </w:pPr>
      <w:r w:rsidDel="00000000" w:rsidR="00000000" w:rsidRPr="00000000">
        <w:rPr>
          <w:rtl w:val="0"/>
        </w:rPr>
        <w:t xml:space="preserve">Use this worksheet to build your case for attending the 2026 AFA Annual Meeting. Complete each section with specifics from your own role and context. The more concrete your responses, the stronger your case.</w:t>
        <w:br w:type="textWrapping"/>
        <w:br w:type="textWrapping"/>
      </w:r>
      <w:r w:rsidDel="00000000" w:rsidR="00000000" w:rsidRPr="00000000">
        <w:rPr>
          <w:b w:val="1"/>
          <w:bCs w:val="1"/>
          <w:u w:val="single"/>
          <w:rtl w:val="0"/>
        </w:rPr>
        <w:t xml:space="preserve">Current Projects</w:t>
      </w:r>
    </w:p>
    <w:p w:rsidR="00000000" w:rsidDel="00000000" w:rsidP="00000000" w:rsidRDefault="00000000" w:rsidRPr="00000000" w14:paraId="00000003">
      <w:pPr>
        <w:spacing w:before="0" w:lineRule="auto"/>
        <w:rPr>
          <w:i w:val="1"/>
          <w:iCs w:val="1"/>
          <w:color w:val="b31e3d"/>
        </w:rPr>
      </w:pPr>
      <w:r w:rsidDel="00000000" w:rsidR="00000000" w:rsidRPr="00000000">
        <w:rPr>
          <w:i w:val="1"/>
          <w:iCs w:val="1"/>
          <w:color w:val="b31e3d"/>
          <w:rtl w:val="0"/>
        </w:rPr>
        <w:t xml:space="preserve">Describe 1-3 projects you are currently working on.</w:t>
      </w:r>
      <w:r w:rsidDel="00000000" w:rsidR="00000000" w:rsidRPr="00000000">
        <w:rPr>
          <w:i w:val="1"/>
          <w:iCs w:val="1"/>
          <w:color w:val="b31e3d"/>
          <w:rtl w:val="0"/>
        </w:rPr>
        <w:t xml:space="preserve"> For each, highlight a specific “pain point” or challenge associated with the project that new knowledge or connections could help to address.</w:t>
      </w:r>
    </w:p>
    <w:p w:rsidR="00000000" w:rsidDel="00000000" w:rsidP="00000000" w:rsidRDefault="00000000" w:rsidRPr="00000000" w14:paraId="00000004">
      <w:pPr>
        <w:numPr>
          <w:ilvl w:val="0"/>
          <w:numId w:val="4"/>
        </w:numPr>
        <w:spacing w:before="200" w:lineRule="auto"/>
        <w:ind w:left="720" w:hanging="360"/>
      </w:pPr>
      <w:r w:rsidDel="00000000" w:rsidR="00000000" w:rsidRPr="00000000">
        <w:rPr>
          <w:rtl w:val="0"/>
        </w:rPr>
        <w:t xml:space="preserve">Project / Details:</w:t>
      </w:r>
    </w:p>
    <w:p w:rsidR="00000000" w:rsidDel="00000000" w:rsidP="00000000" w:rsidRDefault="00000000" w:rsidRPr="00000000" w14:paraId="00000005">
      <w:pPr>
        <w:ind w:left="720" w:firstLine="0"/>
        <w:rPr/>
      </w:pPr>
      <w:r w:rsidDel="00000000" w:rsidR="00000000" w:rsidRPr="00000000">
        <w:rPr>
          <w:rtl w:val="0"/>
        </w:rPr>
        <w:t xml:space="preserve">Challenge or “Pain Point”:</w:t>
      </w:r>
    </w:p>
    <w:p w:rsidR="00000000" w:rsidDel="00000000" w:rsidP="00000000" w:rsidRDefault="00000000" w:rsidRPr="00000000" w14:paraId="00000006">
      <w:pPr>
        <w:numPr>
          <w:ilvl w:val="0"/>
          <w:numId w:val="4"/>
        </w:numPr>
        <w:spacing w:before="200" w:lineRule="auto"/>
        <w:ind w:left="720" w:hanging="360"/>
      </w:pPr>
      <w:r w:rsidDel="00000000" w:rsidR="00000000" w:rsidRPr="00000000">
        <w:rPr>
          <w:rtl w:val="0"/>
        </w:rPr>
        <w:t xml:space="preserve">Project / Details:</w:t>
      </w:r>
    </w:p>
    <w:p w:rsidR="00000000" w:rsidDel="00000000" w:rsidP="00000000" w:rsidRDefault="00000000" w:rsidRPr="00000000" w14:paraId="00000007">
      <w:pPr>
        <w:ind w:left="720" w:firstLine="0"/>
        <w:rPr/>
      </w:pPr>
      <w:r w:rsidDel="00000000" w:rsidR="00000000" w:rsidRPr="00000000">
        <w:rPr>
          <w:rtl w:val="0"/>
        </w:rPr>
        <w:t xml:space="preserve">Challenge or “Pain Point”:</w:t>
      </w:r>
    </w:p>
    <w:p w:rsidR="00000000" w:rsidDel="00000000" w:rsidP="00000000" w:rsidRDefault="00000000" w:rsidRPr="00000000" w14:paraId="00000008">
      <w:pPr>
        <w:numPr>
          <w:ilvl w:val="0"/>
          <w:numId w:val="4"/>
        </w:numPr>
        <w:spacing w:before="200" w:lineRule="auto"/>
        <w:ind w:left="720" w:hanging="360"/>
      </w:pPr>
      <w:r w:rsidDel="00000000" w:rsidR="00000000" w:rsidRPr="00000000">
        <w:rPr>
          <w:rtl w:val="0"/>
        </w:rPr>
        <w:t xml:space="preserve">Project / Details:</w:t>
      </w:r>
    </w:p>
    <w:p w:rsidR="00000000" w:rsidDel="00000000" w:rsidP="00000000" w:rsidRDefault="00000000" w:rsidRPr="00000000" w14:paraId="00000009">
      <w:pPr>
        <w:ind w:left="720" w:firstLine="0"/>
        <w:rPr/>
      </w:pPr>
      <w:r w:rsidDel="00000000" w:rsidR="00000000" w:rsidRPr="00000000">
        <w:rPr>
          <w:rtl w:val="0"/>
        </w:rPr>
        <w:t xml:space="preserve">Challenge or “Pain Point”:</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spacing w:before="200" w:lineRule="auto"/>
        <w:rPr>
          <w:b w:val="1"/>
          <w:bCs w:val="1"/>
          <w:u w:val="single"/>
        </w:rPr>
      </w:pPr>
      <w:r w:rsidDel="00000000" w:rsidR="00000000" w:rsidRPr="00000000">
        <w:rPr>
          <w:b w:val="1"/>
          <w:bCs w:val="1"/>
          <w:u w:val="single"/>
          <w:rtl w:val="0"/>
        </w:rPr>
        <w:t xml:space="preserve">Professional Growth Goals</w:t>
      </w:r>
    </w:p>
    <w:p w:rsidR="00000000" w:rsidDel="00000000" w:rsidP="00000000" w:rsidRDefault="00000000" w:rsidRPr="00000000" w14:paraId="0000000C">
      <w:pPr>
        <w:rPr/>
      </w:pPr>
      <w:r w:rsidDel="00000000" w:rsidR="00000000" w:rsidRPr="00000000">
        <w:rPr>
          <w:i w:val="1"/>
          <w:iCs w:val="1"/>
          <w:color w:val="b31e3d"/>
          <w:rtl w:val="0"/>
        </w:rPr>
        <w:t xml:space="preserve">Describe 1–2 professional skills or competencies you are actively working to develop. Note how attendance at the Annual Meeting supports that growth.</w:t>
      </w:r>
      <w:r w:rsidDel="00000000" w:rsidR="00000000" w:rsidRPr="00000000">
        <w:rPr>
          <w:rtl w:val="0"/>
        </w:rPr>
      </w:r>
    </w:p>
    <w:p w:rsidR="00000000" w:rsidDel="00000000" w:rsidP="00000000" w:rsidRDefault="00000000" w:rsidRPr="00000000" w14:paraId="0000000D">
      <w:pPr>
        <w:numPr>
          <w:ilvl w:val="0"/>
          <w:numId w:val="2"/>
        </w:numPr>
        <w:spacing w:before="200" w:lineRule="auto"/>
        <w:ind w:left="720" w:hanging="360"/>
      </w:pPr>
      <w:r w:rsidDel="00000000" w:rsidR="00000000" w:rsidRPr="00000000">
        <w:rPr>
          <w:rtl w:val="0"/>
        </w:rPr>
        <w:t xml:space="preserve">Skill/Competency:</w:t>
      </w:r>
    </w:p>
    <w:p w:rsidR="00000000" w:rsidDel="00000000" w:rsidP="00000000" w:rsidRDefault="00000000" w:rsidRPr="00000000" w14:paraId="0000000E">
      <w:pPr>
        <w:ind w:left="720" w:firstLine="0"/>
        <w:rPr/>
      </w:pPr>
      <w:r w:rsidDel="00000000" w:rsidR="00000000" w:rsidRPr="00000000">
        <w:rPr>
          <w:rtl w:val="0"/>
        </w:rPr>
        <w:t xml:space="preserve">How the Annual Meeting supports this:</w:t>
      </w:r>
    </w:p>
    <w:p w:rsidR="00000000" w:rsidDel="00000000" w:rsidP="00000000" w:rsidRDefault="00000000" w:rsidRPr="00000000" w14:paraId="0000000F">
      <w:pPr>
        <w:numPr>
          <w:ilvl w:val="0"/>
          <w:numId w:val="2"/>
        </w:numPr>
        <w:spacing w:before="200" w:lineRule="auto"/>
        <w:ind w:left="720" w:hanging="360"/>
      </w:pPr>
      <w:r w:rsidDel="00000000" w:rsidR="00000000" w:rsidRPr="00000000">
        <w:rPr>
          <w:rtl w:val="0"/>
        </w:rPr>
        <w:t xml:space="preserve">Skill/Competency:</w:t>
      </w:r>
    </w:p>
    <w:p w:rsidR="00000000" w:rsidDel="00000000" w:rsidP="00000000" w:rsidRDefault="00000000" w:rsidRPr="00000000" w14:paraId="00000010">
      <w:pPr>
        <w:ind w:left="720" w:firstLine="0"/>
        <w:rPr/>
      </w:pPr>
      <w:r w:rsidDel="00000000" w:rsidR="00000000" w:rsidRPr="00000000">
        <w:rPr>
          <w:rtl w:val="0"/>
        </w:rPr>
        <w:t xml:space="preserve">How the Annual Meeting supports this:</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0" w:firstLine="0"/>
        <w:rPr>
          <w:b w:val="1"/>
          <w:bCs w:val="1"/>
          <w:u w:val="single"/>
        </w:rPr>
      </w:pPr>
      <w:r w:rsidDel="00000000" w:rsidR="00000000" w:rsidRPr="00000000">
        <w:rPr>
          <w:rtl w:val="0"/>
        </w:rPr>
      </w:r>
    </w:p>
    <w:p w:rsidR="00000000" w:rsidDel="00000000" w:rsidP="00000000" w:rsidRDefault="00000000" w:rsidRPr="00000000" w14:paraId="00000013">
      <w:pPr>
        <w:ind w:left="0" w:firstLine="0"/>
        <w:rPr>
          <w:b w:val="1"/>
          <w:bCs w:val="1"/>
          <w:u w:val="single"/>
        </w:rPr>
      </w:pPr>
      <w:r w:rsidDel="00000000" w:rsidR="00000000" w:rsidRPr="00000000">
        <w:rPr>
          <w:b w:val="1"/>
          <w:bCs w:val="1"/>
          <w:u w:val="single"/>
          <w:rtl w:val="0"/>
        </w:rPr>
        <w:t xml:space="preserve">Value Proposition Statements</w:t>
      </w:r>
    </w:p>
    <w:p w:rsidR="00000000" w:rsidDel="00000000" w:rsidP="00000000" w:rsidRDefault="00000000" w:rsidRPr="00000000" w14:paraId="00000014">
      <w:pPr>
        <w:rPr>
          <w:i w:val="1"/>
          <w:iCs w:val="1"/>
          <w:color w:val="b31e3d"/>
        </w:rPr>
      </w:pPr>
      <w:r w:rsidDel="00000000" w:rsidR="00000000" w:rsidRPr="00000000">
        <w:rPr>
          <w:i w:val="1"/>
          <w:iCs w:val="1"/>
          <w:color w:val="b31e3d"/>
          <w:rtl w:val="0"/>
        </w:rPr>
        <w:t xml:space="preserve">Review the </w:t>
      </w:r>
      <w:hyperlink r:id="rId6">
        <w:r w:rsidDel="00000000" w:rsidR="00000000" w:rsidRPr="00000000">
          <w:rPr>
            <w:i w:val="1"/>
            <w:iCs w:val="1"/>
            <w:color w:val="1155cc"/>
            <w:u w:val="single"/>
            <w:rtl w:val="0"/>
          </w:rPr>
          <w:t xml:space="preserve">Annual Meeting website</w:t>
        </w:r>
      </w:hyperlink>
      <w:r w:rsidDel="00000000" w:rsidR="00000000" w:rsidRPr="00000000">
        <w:rPr>
          <w:i w:val="1"/>
          <w:iCs w:val="1"/>
          <w:rtl w:val="0"/>
        </w:rPr>
        <w:t xml:space="preserve"> </w:t>
      </w:r>
      <w:r w:rsidDel="00000000" w:rsidR="00000000" w:rsidRPr="00000000">
        <w:rPr>
          <w:i w:val="1"/>
          <w:iCs w:val="1"/>
          <w:color w:val="b31e3d"/>
          <w:rtl w:val="0"/>
        </w:rPr>
        <w:t xml:space="preserve">(including the </w:t>
      </w:r>
      <w:hyperlink r:id="rId7">
        <w:r w:rsidDel="00000000" w:rsidR="00000000" w:rsidRPr="00000000">
          <w:rPr>
            <w:i w:val="1"/>
            <w:iCs w:val="1"/>
            <w:color w:val="1155cc"/>
            <w:u w:val="single"/>
            <w:rtl w:val="0"/>
          </w:rPr>
          <w:t xml:space="preserve">schedule</w:t>
        </w:r>
      </w:hyperlink>
      <w:r w:rsidDel="00000000" w:rsidR="00000000" w:rsidRPr="00000000">
        <w:rPr>
          <w:i w:val="1"/>
          <w:iCs w:val="1"/>
          <w:color w:val="b31e3d"/>
          <w:rtl w:val="0"/>
        </w:rPr>
        <w:t xml:space="preserve">) </w:t>
      </w:r>
      <w:r w:rsidDel="00000000" w:rsidR="00000000" w:rsidRPr="00000000">
        <w:rPr>
          <w:i w:val="1"/>
          <w:iCs w:val="1"/>
          <w:color w:val="b31e3d"/>
          <w:rtl w:val="0"/>
        </w:rPr>
        <w:t xml:space="preserve">and identify specific ways the Annual Meeting can provide value to your work. Use the prompt below as a template for your statement(s):</w:t>
      </w:r>
    </w:p>
    <w:p w:rsidR="00000000" w:rsidDel="00000000" w:rsidP="00000000" w:rsidRDefault="00000000" w:rsidRPr="00000000" w14:paraId="00000015">
      <w:pPr>
        <w:spacing w:before="200" w:lineRule="auto"/>
        <w:jc w:val="center"/>
        <w:rPr>
          <w:i w:val="1"/>
          <w:iCs w:val="1"/>
          <w:color w:val="b31e3d"/>
        </w:rPr>
      </w:pPr>
      <w:r w:rsidDel="00000000" w:rsidR="00000000" w:rsidRPr="00000000">
        <w:rPr>
          <w:i w:val="1"/>
          <w:iCs w:val="1"/>
          <w:color w:val="b31e3d"/>
          <w:rtl w:val="0"/>
        </w:rPr>
        <w:t xml:space="preserve">The Annual Meeting can help me solve/address (X) by doing/offering/connecting me with (Y).</w:t>
      </w:r>
    </w:p>
    <w:p w:rsidR="00000000" w:rsidDel="00000000" w:rsidP="00000000" w:rsidRDefault="00000000" w:rsidRPr="00000000" w14:paraId="00000016">
      <w:pPr>
        <w:numPr>
          <w:ilvl w:val="0"/>
          <w:numId w:val="5"/>
        </w:numPr>
        <w:spacing w:before="200" w:lineRule="auto"/>
        <w:ind w:left="720" w:hanging="360"/>
      </w:pPr>
      <w:r w:rsidDel="00000000" w:rsidR="00000000" w:rsidRPr="00000000">
        <w:rPr>
          <w:rtl w:val="0"/>
        </w:rPr>
        <w:t xml:space="preserve">[Statement]</w:t>
      </w:r>
    </w:p>
    <w:p w:rsidR="00000000" w:rsidDel="00000000" w:rsidP="00000000" w:rsidRDefault="00000000" w:rsidRPr="00000000" w14:paraId="00000017">
      <w:pPr>
        <w:numPr>
          <w:ilvl w:val="0"/>
          <w:numId w:val="5"/>
        </w:numPr>
        <w:spacing w:before="200" w:lineRule="auto"/>
        <w:ind w:left="720" w:hanging="360"/>
      </w:pPr>
      <w:r w:rsidDel="00000000" w:rsidR="00000000" w:rsidRPr="00000000">
        <w:rPr>
          <w:rtl w:val="0"/>
        </w:rPr>
        <w:t xml:space="preserve">[Statement]</w:t>
      </w:r>
    </w:p>
    <w:p w:rsidR="00000000" w:rsidDel="00000000" w:rsidP="00000000" w:rsidRDefault="00000000" w:rsidRPr="00000000" w14:paraId="00000018">
      <w:pPr>
        <w:numPr>
          <w:ilvl w:val="0"/>
          <w:numId w:val="5"/>
        </w:numPr>
        <w:spacing w:before="200" w:lineRule="auto"/>
        <w:ind w:left="720" w:hanging="360"/>
      </w:pPr>
      <w:r w:rsidDel="00000000" w:rsidR="00000000" w:rsidRPr="00000000">
        <w:rPr>
          <w:rtl w:val="0"/>
        </w:rPr>
        <w:t xml:space="preserve">[Statement]</w:t>
      </w:r>
    </w:p>
    <w:p w:rsidR="00000000" w:rsidDel="00000000" w:rsidP="00000000" w:rsidRDefault="00000000" w:rsidRPr="00000000" w14:paraId="00000019">
      <w:pPr>
        <w:spacing w:before="0" w:lineRule="auto"/>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spacing w:before="0" w:lineRule="auto"/>
        <w:rPr>
          <w:b w:val="1"/>
          <w:bCs w:val="1"/>
          <w:u w:val="single"/>
        </w:rPr>
      </w:pPr>
      <w:r w:rsidDel="00000000" w:rsidR="00000000" w:rsidRPr="00000000">
        <w:rPr>
          <w:b w:val="1"/>
          <w:bCs w:val="1"/>
          <w:u w:val="single"/>
          <w:rtl w:val="0"/>
        </w:rPr>
        <w:t xml:space="preserve">Educational Opportunities</w:t>
      </w:r>
    </w:p>
    <w:p w:rsidR="00000000" w:rsidDel="00000000" w:rsidP="00000000" w:rsidRDefault="00000000" w:rsidRPr="00000000" w14:paraId="0000001E">
      <w:pPr>
        <w:rPr>
          <w:i w:val="1"/>
          <w:iCs w:val="1"/>
          <w:color w:val="b31e3d"/>
        </w:rPr>
      </w:pPr>
      <w:r w:rsidDel="00000000" w:rsidR="00000000" w:rsidRPr="00000000">
        <w:rPr>
          <w:i w:val="1"/>
          <w:iCs w:val="1"/>
          <w:color w:val="b31e3d"/>
          <w:rtl w:val="0"/>
        </w:rPr>
        <w:t xml:space="preserve">After reviewing the </w:t>
      </w:r>
      <w:hyperlink r:id="rId8">
        <w:r w:rsidDel="00000000" w:rsidR="00000000" w:rsidRPr="00000000">
          <w:rPr>
            <w:i w:val="1"/>
            <w:iCs w:val="1"/>
            <w:color w:val="1155cc"/>
            <w:u w:val="single"/>
            <w:rtl w:val="0"/>
          </w:rPr>
          <w:t xml:space="preserve">conference schedule</w:t>
        </w:r>
      </w:hyperlink>
      <w:r w:rsidDel="00000000" w:rsidR="00000000" w:rsidRPr="00000000">
        <w:rPr>
          <w:i w:val="1"/>
          <w:iCs w:val="1"/>
          <w:rtl w:val="0"/>
        </w:rPr>
        <w:t xml:space="preserve">,</w:t>
      </w:r>
      <w:r w:rsidDel="00000000" w:rsidR="00000000" w:rsidRPr="00000000">
        <w:rPr>
          <w:i w:val="1"/>
          <w:iCs w:val="1"/>
          <w:color w:val="b31e3d"/>
          <w:rtl w:val="0"/>
        </w:rPr>
        <w:t xml:space="preserve"> list specific educational sessions relevant to your role and goals. Note: The full schedule is typically published in October.</w:t>
      </w:r>
    </w:p>
    <w:p w:rsidR="00000000" w:rsidDel="00000000" w:rsidP="00000000" w:rsidRDefault="00000000" w:rsidRPr="00000000" w14:paraId="0000001F">
      <w:pPr>
        <w:rPr>
          <w:i w:val="1"/>
          <w:iCs w:val="1"/>
          <w:color w:val="b31e3d"/>
        </w:rPr>
      </w:pPr>
      <w:r w:rsidDel="00000000" w:rsidR="00000000" w:rsidRPr="00000000">
        <w:rPr>
          <w:rtl w:val="0"/>
        </w:rPr>
      </w:r>
    </w:p>
    <w:p w:rsidR="00000000" w:rsidDel="00000000" w:rsidP="00000000" w:rsidRDefault="00000000" w:rsidRPr="00000000" w14:paraId="00000020">
      <w:pPr>
        <w:rPr>
          <w:i w:val="1"/>
          <w:iCs w:val="1"/>
          <w:highlight w:val="yellow"/>
        </w:rPr>
      </w:pPr>
      <w:r w:rsidDel="00000000" w:rsidR="00000000" w:rsidRPr="00000000">
        <w:rPr>
          <w:i w:val="1"/>
          <w:iCs w:val="1"/>
          <w:color w:val="b31e3d"/>
          <w:rtl w:val="0"/>
        </w:rPr>
        <w:t xml:space="preserve">Consider sessions relevant to your role – whether you are campus professional, headquarters professional, or serving in a volunteer capacity.</w:t>
      </w:r>
      <w:r w:rsidDel="00000000" w:rsidR="00000000" w:rsidRPr="00000000">
        <w:rPr>
          <w:rtl w:val="0"/>
        </w:rPr>
      </w:r>
    </w:p>
    <w:p w:rsidR="00000000" w:rsidDel="00000000" w:rsidP="00000000" w:rsidRDefault="00000000" w:rsidRPr="00000000" w14:paraId="00000021">
      <w:pPr>
        <w:numPr>
          <w:ilvl w:val="0"/>
          <w:numId w:val="6"/>
        </w:numPr>
        <w:spacing w:before="200" w:lineRule="auto"/>
        <w:ind w:left="720" w:hanging="360"/>
      </w:pPr>
      <w:r w:rsidDel="00000000" w:rsidR="00000000" w:rsidRPr="00000000">
        <w:rPr>
          <w:rtl w:val="0"/>
        </w:rPr>
        <w:t xml:space="preserve">[list ed session]</w:t>
      </w:r>
    </w:p>
    <w:p w:rsidR="00000000" w:rsidDel="00000000" w:rsidP="00000000" w:rsidRDefault="00000000" w:rsidRPr="00000000" w14:paraId="00000022">
      <w:pPr>
        <w:numPr>
          <w:ilvl w:val="0"/>
          <w:numId w:val="6"/>
        </w:numPr>
        <w:spacing w:before="200" w:lineRule="auto"/>
        <w:ind w:left="720" w:hanging="360"/>
      </w:pPr>
      <w:r w:rsidDel="00000000" w:rsidR="00000000" w:rsidRPr="00000000">
        <w:rPr>
          <w:rtl w:val="0"/>
        </w:rPr>
        <w:t xml:space="preserve">[list ed session]</w:t>
      </w:r>
    </w:p>
    <w:p w:rsidR="00000000" w:rsidDel="00000000" w:rsidP="00000000" w:rsidRDefault="00000000" w:rsidRPr="00000000" w14:paraId="00000023">
      <w:pPr>
        <w:numPr>
          <w:ilvl w:val="0"/>
          <w:numId w:val="6"/>
        </w:numPr>
        <w:spacing w:before="200" w:lineRule="auto"/>
        <w:ind w:left="720" w:hanging="360"/>
      </w:pPr>
      <w:r w:rsidDel="00000000" w:rsidR="00000000" w:rsidRPr="00000000">
        <w:rPr>
          <w:rtl w:val="0"/>
        </w:rPr>
        <w:t xml:space="preserve">[list ed session]</w:t>
      </w:r>
    </w:p>
    <w:p w:rsidR="00000000" w:rsidDel="00000000" w:rsidP="00000000" w:rsidRDefault="00000000" w:rsidRPr="00000000" w14:paraId="00000024">
      <w:pPr>
        <w:numPr>
          <w:ilvl w:val="0"/>
          <w:numId w:val="6"/>
        </w:numPr>
        <w:spacing w:after="200" w:before="200" w:lineRule="auto"/>
        <w:ind w:left="720" w:hanging="360"/>
      </w:pPr>
      <w:r w:rsidDel="00000000" w:rsidR="00000000" w:rsidRPr="00000000">
        <w:rPr>
          <w:rtl w:val="0"/>
        </w:rPr>
        <w:t xml:space="preserve">[list ed session]</w:t>
      </w:r>
    </w:p>
    <w:p w:rsidR="00000000" w:rsidDel="00000000" w:rsidP="00000000" w:rsidRDefault="00000000" w:rsidRPr="00000000" w14:paraId="00000025">
      <w:pPr>
        <w:rPr/>
      </w:pPr>
      <w:r w:rsidDel="00000000" w:rsidR="00000000" w:rsidRPr="00000000">
        <w:rPr>
          <w:rtl w:val="0"/>
        </w:rPr>
        <w:t xml:space="preserve">Attending these sessions will provide access to current trends, evidence-based practices, and peer perspectives that I can apply directly to my work.</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before="0" w:lineRule="auto"/>
        <w:rPr/>
      </w:pPr>
      <w:r w:rsidDel="00000000" w:rsidR="00000000" w:rsidRPr="00000000">
        <w:rPr>
          <w:b w:val="1"/>
          <w:bCs w:val="1"/>
          <w:u w:val="single"/>
          <w:rtl w:val="0"/>
        </w:rPr>
        <w:t xml:space="preserve">Networking Opportunities</w:t>
      </w:r>
      <w:r w:rsidDel="00000000" w:rsidR="00000000" w:rsidRPr="00000000">
        <w:rPr>
          <w:rtl w:val="0"/>
        </w:rPr>
      </w:r>
    </w:p>
    <w:p w:rsidR="00000000" w:rsidDel="00000000" w:rsidP="00000000" w:rsidRDefault="00000000" w:rsidRPr="00000000" w14:paraId="00000029">
      <w:pPr>
        <w:spacing w:before="0" w:lineRule="auto"/>
        <w:rPr>
          <w:i w:val="1"/>
          <w:iCs w:val="1"/>
          <w:color w:val="b31e3d"/>
        </w:rPr>
      </w:pPr>
      <w:r w:rsidDel="00000000" w:rsidR="00000000" w:rsidRPr="00000000">
        <w:rPr>
          <w:i w:val="1"/>
          <w:iCs w:val="1"/>
          <w:color w:val="b31e3d"/>
          <w:rtl w:val="0"/>
        </w:rPr>
        <w:t xml:space="preserve">Identify specific individuals, organizations, or groups you plan to connect with at the Annual Meeting. Consider campus-based colleagues, headquarters staff partners, chapter advisors and volunteers, educational partners, and other professionals whose work intersects with yours.</w:t>
      </w:r>
    </w:p>
    <w:p w:rsidR="00000000" w:rsidDel="00000000" w:rsidP="00000000" w:rsidRDefault="00000000" w:rsidRPr="00000000" w14:paraId="0000002A">
      <w:pPr>
        <w:numPr>
          <w:ilvl w:val="0"/>
          <w:numId w:val="1"/>
        </w:numPr>
        <w:spacing w:before="200" w:lineRule="auto"/>
        <w:ind w:left="720" w:hanging="360"/>
      </w:pPr>
      <w:r w:rsidDel="00000000" w:rsidR="00000000" w:rsidRPr="00000000">
        <w:rPr>
          <w:rtl w:val="0"/>
        </w:rPr>
        <w:t xml:space="preserve">Partner/Person/Group:</w:t>
      </w:r>
    </w:p>
    <w:p w:rsidR="00000000" w:rsidDel="00000000" w:rsidP="00000000" w:rsidRDefault="00000000" w:rsidRPr="00000000" w14:paraId="0000002B">
      <w:pPr>
        <w:spacing w:before="0" w:lineRule="auto"/>
        <w:ind w:left="720" w:firstLine="0"/>
        <w:rPr/>
      </w:pPr>
      <w:r w:rsidDel="00000000" w:rsidR="00000000" w:rsidRPr="00000000">
        <w:rPr>
          <w:rtl w:val="0"/>
        </w:rPr>
        <w:t xml:space="preserve">Why this connection matters:</w:t>
      </w:r>
      <w:r w:rsidDel="00000000" w:rsidR="00000000" w:rsidRPr="00000000">
        <w:rPr>
          <w:rtl w:val="0"/>
        </w:rPr>
      </w:r>
    </w:p>
    <w:p w:rsidR="00000000" w:rsidDel="00000000" w:rsidP="00000000" w:rsidRDefault="00000000" w:rsidRPr="00000000" w14:paraId="0000002C">
      <w:pPr>
        <w:numPr>
          <w:ilvl w:val="0"/>
          <w:numId w:val="1"/>
        </w:numPr>
        <w:spacing w:before="200" w:lineRule="auto"/>
        <w:ind w:left="720" w:hanging="360"/>
      </w:pPr>
      <w:r w:rsidDel="00000000" w:rsidR="00000000" w:rsidRPr="00000000">
        <w:rPr>
          <w:rtl w:val="0"/>
        </w:rPr>
        <w:t xml:space="preserve">Partner/Person/Group:</w:t>
      </w:r>
    </w:p>
    <w:p w:rsidR="00000000" w:rsidDel="00000000" w:rsidP="00000000" w:rsidRDefault="00000000" w:rsidRPr="00000000" w14:paraId="0000002D">
      <w:pPr>
        <w:ind w:left="720" w:firstLine="0"/>
        <w:rPr/>
      </w:pPr>
      <w:r w:rsidDel="00000000" w:rsidR="00000000" w:rsidRPr="00000000">
        <w:rPr>
          <w:rtl w:val="0"/>
        </w:rPr>
        <w:t xml:space="preserve">Why this connection matters:</w:t>
      </w:r>
    </w:p>
    <w:p w:rsidR="00000000" w:rsidDel="00000000" w:rsidP="00000000" w:rsidRDefault="00000000" w:rsidRPr="00000000" w14:paraId="0000002E">
      <w:pPr>
        <w:numPr>
          <w:ilvl w:val="0"/>
          <w:numId w:val="1"/>
        </w:numPr>
        <w:spacing w:before="200" w:lineRule="auto"/>
        <w:ind w:left="720" w:hanging="360"/>
      </w:pPr>
      <w:r w:rsidDel="00000000" w:rsidR="00000000" w:rsidRPr="00000000">
        <w:rPr>
          <w:rtl w:val="0"/>
        </w:rPr>
        <w:t xml:space="preserve">Partner/Person/Group:</w:t>
      </w:r>
    </w:p>
    <w:p w:rsidR="00000000" w:rsidDel="00000000" w:rsidP="00000000" w:rsidRDefault="00000000" w:rsidRPr="00000000" w14:paraId="0000002F">
      <w:pPr>
        <w:ind w:left="720" w:firstLine="0"/>
        <w:rPr/>
      </w:pPr>
      <w:r w:rsidDel="00000000" w:rsidR="00000000" w:rsidRPr="00000000">
        <w:rPr>
          <w:rtl w:val="0"/>
        </w:rPr>
        <w:t xml:space="preserve">Why this connection matters:</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u w:val="single"/>
          <w:rtl w:val="0"/>
        </w:rPr>
        <w:t xml:space="preserve">Departmental Alignment </w:t>
      </w:r>
      <w:r w:rsidDel="00000000" w:rsidR="00000000" w:rsidRPr="00000000">
        <w:rPr>
          <w:rtl w:val="0"/>
        </w:rPr>
      </w:r>
    </w:p>
    <w:p w:rsidR="00000000" w:rsidDel="00000000" w:rsidP="00000000" w:rsidRDefault="00000000" w:rsidRPr="00000000" w14:paraId="00000033">
      <w:pPr>
        <w:rPr/>
      </w:pPr>
      <w:r w:rsidDel="00000000" w:rsidR="00000000" w:rsidRPr="00000000">
        <w:rPr>
          <w:i w:val="1"/>
          <w:iCs w:val="1"/>
          <w:color w:val="b31e3d"/>
          <w:rtl w:val="0"/>
        </w:rPr>
        <w:t xml:space="preserve">Map your departmental or organizational priorities to the specific opportunities the Annual Meeting provides. An example row is provided to guide your thinking.</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2790"/>
        <w:gridCol w:w="4095"/>
        <w:tblGridChange w:id="0">
          <w:tblGrid>
            <w:gridCol w:w="2475"/>
            <w:gridCol w:w="2790"/>
            <w:gridCol w:w="4095"/>
          </w:tblGrid>
        </w:tblGridChange>
      </w:tblGrid>
      <w:tr>
        <w:trPr>
          <w:cantSplit w:val="0"/>
          <w:trHeight w:val="715.95703125" w:hRule="atLeast"/>
          <w:tblHeader w:val="0"/>
        </w:trPr>
        <w:tc>
          <w:tcPr>
            <w:vAlign w:val="center"/>
          </w:tcPr>
          <w:p w:rsidR="00000000" w:rsidDel="00000000" w:rsidP="00000000" w:rsidRDefault="00000000" w:rsidRPr="00000000" w14:paraId="00000035">
            <w:pPr>
              <w:rPr>
                <w:b w:val="1"/>
                <w:bCs w:val="1"/>
              </w:rPr>
            </w:pPr>
            <w:r w:rsidDel="00000000" w:rsidR="00000000" w:rsidRPr="00000000">
              <w:rPr>
                <w:b w:val="1"/>
                <w:bCs w:val="1"/>
                <w:rtl w:val="0"/>
              </w:rPr>
              <w:t xml:space="preserve">Department’s Need</w:t>
            </w:r>
          </w:p>
        </w:tc>
        <w:tc>
          <w:tcPr>
            <w:vAlign w:val="center"/>
          </w:tcPr>
          <w:p w:rsidR="00000000" w:rsidDel="00000000" w:rsidP="00000000" w:rsidRDefault="00000000" w:rsidRPr="00000000" w14:paraId="00000036">
            <w:pPr>
              <w:rPr>
                <w:b w:val="1"/>
                <w:bCs w:val="1"/>
              </w:rPr>
            </w:pPr>
            <w:r w:rsidDel="00000000" w:rsidR="00000000" w:rsidRPr="00000000">
              <w:rPr>
                <w:b w:val="1"/>
                <w:bCs w:val="1"/>
                <w:rtl w:val="0"/>
              </w:rPr>
              <w:t xml:space="preserve">My Objective</w:t>
            </w:r>
          </w:p>
        </w:tc>
        <w:tc>
          <w:tcPr>
            <w:vAlign w:val="center"/>
          </w:tcPr>
          <w:p w:rsidR="00000000" w:rsidDel="00000000" w:rsidP="00000000" w:rsidRDefault="00000000" w:rsidRPr="00000000" w14:paraId="00000037">
            <w:pPr>
              <w:rPr>
                <w:b w:val="1"/>
                <w:bCs w:val="1"/>
              </w:rPr>
            </w:pPr>
            <w:r w:rsidDel="00000000" w:rsidR="00000000" w:rsidRPr="00000000">
              <w:rPr>
                <w:b w:val="1"/>
                <w:bCs w:val="1"/>
                <w:rtl w:val="0"/>
              </w:rPr>
              <w:t xml:space="preserve">2026 AFA Annual Meeting offers…</w:t>
            </w:r>
          </w:p>
        </w:tc>
      </w:tr>
      <w:tr>
        <w:trPr>
          <w:cantSplit w:val="0"/>
          <w:trHeight w:val="875.6022135416674" w:hRule="atLeast"/>
          <w:tblHeader w:val="0"/>
        </w:trPr>
        <w:tc>
          <w:tcPr>
            <w:shd w:fill="d9d9d9" w:val="clear"/>
          </w:tcPr>
          <w:p w:rsidR="00000000" w:rsidDel="00000000" w:rsidP="00000000" w:rsidRDefault="00000000" w:rsidRPr="00000000" w14:paraId="00000038">
            <w:pPr>
              <w:rPr>
                <w:i w:val="1"/>
                <w:iCs w:val="1"/>
              </w:rPr>
            </w:pPr>
            <w:r w:rsidDel="00000000" w:rsidR="00000000" w:rsidRPr="00000000">
              <w:rPr>
                <w:i w:val="1"/>
                <w:iCs w:val="1"/>
                <w:rtl w:val="0"/>
              </w:rPr>
              <w:t xml:space="preserve">Example: Improving chapter member retention</w:t>
            </w:r>
          </w:p>
        </w:tc>
        <w:tc>
          <w:tcPr>
            <w:shd w:fill="d9d9d9" w:val="clear"/>
          </w:tcPr>
          <w:p w:rsidR="00000000" w:rsidDel="00000000" w:rsidP="00000000" w:rsidRDefault="00000000" w:rsidRPr="00000000" w14:paraId="00000039">
            <w:pPr>
              <w:rPr>
                <w:i w:val="1"/>
                <w:iCs w:val="1"/>
              </w:rPr>
            </w:pPr>
            <w:r w:rsidDel="00000000" w:rsidR="00000000" w:rsidRPr="00000000">
              <w:rPr>
                <w:i w:val="1"/>
                <w:iCs w:val="1"/>
                <w:rtl w:val="0"/>
              </w:rPr>
              <w:t xml:space="preserve">Identify two evidence-based retention strategies to pilot this year</w:t>
            </w:r>
          </w:p>
        </w:tc>
        <w:tc>
          <w:tcPr>
            <w:shd w:fill="d9d9d9" w:val="clear"/>
          </w:tcPr>
          <w:p w:rsidR="00000000" w:rsidDel="00000000" w:rsidP="00000000" w:rsidRDefault="00000000" w:rsidRPr="00000000" w14:paraId="0000003A">
            <w:pPr>
              <w:rPr>
                <w:i w:val="1"/>
                <w:iCs w:val="1"/>
              </w:rPr>
            </w:pPr>
            <w:r w:rsidDel="00000000" w:rsidR="00000000" w:rsidRPr="00000000">
              <w:rPr>
                <w:i w:val="1"/>
                <w:iCs w:val="1"/>
                <w:rtl w:val="0"/>
              </w:rPr>
              <w:t xml:space="preserve">Educational session on data-driven advising; peer networking with colleagues at similar institutions.</w:t>
            </w:r>
          </w:p>
        </w:tc>
      </w:tr>
      <w:tr>
        <w:trPr>
          <w:cantSplit w:val="0"/>
          <w:trHeight w:val="530.0000000000001" w:hRule="atLeast"/>
          <w:tblHeader w:val="0"/>
        </w:trPr>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rHeight w:val="530.0000000000001" w:hRule="atLeast"/>
          <w:tblHeader w:val="0"/>
        </w:trPr>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rHeight w:val="530.0000000000001" w:hRule="atLeast"/>
          <w:tblHeader w:val="0"/>
        </w:trPr>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u w:val="single"/>
          <w:rtl w:val="0"/>
        </w:rPr>
        <w:t xml:space="preserve">Post-Conference Commitment</w:t>
      </w:r>
      <w:r w:rsidDel="00000000" w:rsidR="00000000" w:rsidRPr="00000000">
        <w:rPr>
          <w:rtl w:val="0"/>
        </w:rPr>
      </w:r>
    </w:p>
    <w:p w:rsidR="00000000" w:rsidDel="00000000" w:rsidP="00000000" w:rsidRDefault="00000000" w:rsidRPr="00000000" w14:paraId="00000047">
      <w:pPr>
        <w:rPr>
          <w:i w:val="1"/>
          <w:iCs w:val="1"/>
          <w:color w:val="b31e3d"/>
        </w:rPr>
      </w:pPr>
      <w:r w:rsidDel="00000000" w:rsidR="00000000" w:rsidRPr="00000000">
        <w:rPr>
          <w:i w:val="1"/>
          <w:iCs w:val="1"/>
          <w:color w:val="b31e3d"/>
          <w:rtl w:val="0"/>
        </w:rPr>
        <w:t xml:space="preserve">Use this section to proactively share with your supervisor how you plan to bring value back to your team. Completing this section before the conference demonstrates intentionality and accountability.</w:t>
      </w:r>
    </w:p>
    <w:p w:rsidR="00000000" w:rsidDel="00000000" w:rsidP="00000000" w:rsidRDefault="00000000" w:rsidRPr="00000000" w14:paraId="00000048">
      <w:pPr>
        <w:rPr>
          <w:i w:val="1"/>
          <w:iCs w:val="1"/>
          <w:color w:val="b31e3d"/>
        </w:rPr>
      </w:pPr>
      <w:r w:rsidDel="00000000" w:rsidR="00000000" w:rsidRPr="00000000">
        <w:rPr>
          <w:rtl w:val="0"/>
        </w:rPr>
      </w:r>
    </w:p>
    <w:p w:rsidR="00000000" w:rsidDel="00000000" w:rsidP="00000000" w:rsidRDefault="00000000" w:rsidRPr="00000000" w14:paraId="00000049">
      <w:pPr>
        <w:rPr>
          <w:i w:val="1"/>
          <w:iCs w:val="1"/>
          <w:color w:val="b31e3d"/>
        </w:rPr>
      </w:pPr>
      <w:r w:rsidDel="00000000" w:rsidR="00000000" w:rsidRPr="00000000">
        <w:rPr>
          <w:i w:val="1"/>
          <w:iCs w:val="1"/>
          <w:color w:val="b31e3d"/>
          <w:rtl w:val="0"/>
        </w:rPr>
        <w:t xml:space="preserve">Use the first prompt to describe how you will share your takeaways with colleagues and/or apply what you learn. Use the second prompt to outline specific actions you plan to take after attending the conference.</w:t>
      </w:r>
    </w:p>
    <w:p w:rsidR="00000000" w:rsidDel="00000000" w:rsidP="00000000" w:rsidRDefault="00000000" w:rsidRPr="00000000" w14:paraId="0000004A">
      <w:pPr>
        <w:spacing w:before="200" w:lineRule="auto"/>
        <w:ind w:left="0" w:firstLine="0"/>
        <w:rPr>
          <w:b w:val="1"/>
          <w:bCs w:val="1"/>
        </w:rPr>
      </w:pPr>
      <w:r w:rsidDel="00000000" w:rsidR="00000000" w:rsidRPr="00000000">
        <w:rPr>
          <w:b w:val="1"/>
          <w:bCs w:val="1"/>
          <w:rtl w:val="0"/>
        </w:rPr>
        <w:t xml:space="preserve">I commit to sharing what I learned by:</w:t>
      </w:r>
    </w:p>
    <w:p w:rsidR="00000000" w:rsidDel="00000000" w:rsidP="00000000" w:rsidRDefault="00000000" w:rsidRPr="00000000" w14:paraId="0000004B">
      <w:pPr>
        <w:numPr>
          <w:ilvl w:val="0"/>
          <w:numId w:val="3"/>
        </w:numPr>
        <w:spacing w:after="200" w:before="200" w:lineRule="auto"/>
        <w:ind w:left="720" w:hanging="360"/>
        <w:rPr/>
      </w:pPr>
      <w:r w:rsidDel="00000000" w:rsidR="00000000" w:rsidRPr="00000000">
        <w:rPr>
          <w:rtl w:val="0"/>
        </w:rPr>
        <w:t xml:space="preserve">[example]</w:t>
      </w:r>
    </w:p>
    <w:p w:rsidR="00000000" w:rsidDel="00000000" w:rsidP="00000000" w:rsidRDefault="00000000" w:rsidRPr="00000000" w14:paraId="0000004C">
      <w:pPr>
        <w:numPr>
          <w:ilvl w:val="0"/>
          <w:numId w:val="3"/>
        </w:numPr>
        <w:spacing w:after="200" w:before="0" w:lineRule="auto"/>
        <w:ind w:left="720" w:hanging="360"/>
        <w:rPr>
          <w:u w:val="none"/>
        </w:rPr>
      </w:pPr>
      <w:r w:rsidDel="00000000" w:rsidR="00000000" w:rsidRPr="00000000">
        <w:rPr>
          <w:rtl w:val="0"/>
        </w:rPr>
        <w:t xml:space="preserve">[example]</w:t>
      </w:r>
    </w:p>
    <w:p w:rsidR="00000000" w:rsidDel="00000000" w:rsidP="00000000" w:rsidRDefault="00000000" w:rsidRPr="00000000" w14:paraId="0000004D">
      <w:pPr>
        <w:numPr>
          <w:ilvl w:val="0"/>
          <w:numId w:val="3"/>
        </w:numPr>
        <w:spacing w:after="200" w:before="200" w:lineRule="auto"/>
        <w:ind w:left="720" w:hanging="360"/>
        <w:rPr>
          <w:u w:val="none"/>
        </w:rPr>
      </w:pPr>
      <w:r w:rsidDel="00000000" w:rsidR="00000000" w:rsidRPr="00000000">
        <w:rPr>
          <w:rtl w:val="0"/>
        </w:rPr>
        <w:t xml:space="preserve">[example]</w:t>
      </w:r>
    </w:p>
    <w:p w:rsidR="00000000" w:rsidDel="00000000" w:rsidP="00000000" w:rsidRDefault="00000000" w:rsidRPr="00000000" w14:paraId="0000004E">
      <w:pPr>
        <w:spacing w:before="200" w:lineRule="auto"/>
        <w:rPr>
          <w:b w:val="1"/>
          <w:bCs w:val="1"/>
        </w:rPr>
      </w:pPr>
      <w:r w:rsidDel="00000000" w:rsidR="00000000" w:rsidRPr="00000000">
        <w:rPr>
          <w:b w:val="1"/>
          <w:bCs w:val="1"/>
          <w:rtl w:val="0"/>
        </w:rPr>
        <w:t xml:space="preserve">Specific actions I plan to take after attending:</w:t>
      </w:r>
    </w:p>
    <w:p w:rsidR="00000000" w:rsidDel="00000000" w:rsidP="00000000" w:rsidRDefault="00000000" w:rsidRPr="00000000" w14:paraId="0000004F">
      <w:pPr>
        <w:numPr>
          <w:ilvl w:val="0"/>
          <w:numId w:val="3"/>
        </w:numPr>
        <w:spacing w:after="200" w:before="200" w:lineRule="auto"/>
        <w:ind w:left="720" w:hanging="360"/>
      </w:pPr>
      <w:r w:rsidDel="00000000" w:rsidR="00000000" w:rsidRPr="00000000">
        <w:rPr>
          <w:rtl w:val="0"/>
        </w:rPr>
        <w:t xml:space="preserve">[example]</w:t>
      </w:r>
    </w:p>
    <w:p w:rsidR="00000000" w:rsidDel="00000000" w:rsidP="00000000" w:rsidRDefault="00000000" w:rsidRPr="00000000" w14:paraId="00000050">
      <w:pPr>
        <w:numPr>
          <w:ilvl w:val="0"/>
          <w:numId w:val="3"/>
        </w:numPr>
        <w:spacing w:after="200" w:lineRule="auto"/>
        <w:ind w:left="720" w:hanging="360"/>
      </w:pPr>
      <w:r w:rsidDel="00000000" w:rsidR="00000000" w:rsidRPr="00000000">
        <w:rPr>
          <w:rtl w:val="0"/>
        </w:rPr>
        <w:t xml:space="preserve">[example]</w:t>
      </w:r>
    </w:p>
    <w:p w:rsidR="00000000" w:rsidDel="00000000" w:rsidP="00000000" w:rsidRDefault="00000000" w:rsidRPr="00000000" w14:paraId="00000051">
      <w:pPr>
        <w:numPr>
          <w:ilvl w:val="0"/>
          <w:numId w:val="3"/>
        </w:numPr>
        <w:spacing w:after="200" w:before="200" w:lineRule="auto"/>
        <w:ind w:left="720" w:hanging="360"/>
      </w:pPr>
      <w:r w:rsidDel="00000000" w:rsidR="00000000" w:rsidRPr="00000000">
        <w:rPr>
          <w:rtl w:val="0"/>
        </w:rPr>
        <w:t xml:space="preserve">[example]</w:t>
      </w:r>
      <w:r w:rsidDel="00000000" w:rsidR="00000000" w:rsidRPr="00000000">
        <w:rPr>
          <w:rtl w:val="0"/>
        </w:rPr>
      </w:r>
    </w:p>
    <w:sectPr>
      <w:footerReference r:id="rId9" w:type="default"/>
      <w:pgSz w:h="15840" w:w="12240" w:orient="portrait"/>
      <w:pgMar w:bottom="1440" w:top="1440" w:left="1440" w:right="144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5943600" cy="489773"/>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3473" t="0"/>
                  <a:stretch>
                    <a:fillRect/>
                  </a:stretch>
                </pic:blipFill>
                <pic:spPr>
                  <a:xfrm>
                    <a:off x="0" y="0"/>
                    <a:ext cx="5943600" cy="48977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fa1976.org/annual-meeting/" TargetMode="External"/><Relationship Id="rId7" Type="http://schemas.openxmlformats.org/officeDocument/2006/relationships/hyperlink" Target="https://afa1976.org/annual-meeting/schedule/" TargetMode="External"/><Relationship Id="rId8" Type="http://schemas.openxmlformats.org/officeDocument/2006/relationships/hyperlink" Target="https://afa1976.org/annual-meeting/schedu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