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Rule="auto"/>
        <w:jc w:val="center"/>
        <w:rPr>
          <w:sz w:val="54"/>
          <w:szCs w:val="54"/>
        </w:rPr>
      </w:pPr>
      <w:bookmarkStart w:colFirst="0" w:colLast="0" w:name="_liq3kdefcjk4" w:id="0"/>
      <w:bookmarkEnd w:id="0"/>
      <w:r w:rsidDel="00000000" w:rsidR="00000000" w:rsidRPr="00000000">
        <w:rPr>
          <w:b w:val="1"/>
          <w:bCs w:val="1"/>
          <w:color w:val="b31e3d"/>
          <w:sz w:val="28"/>
          <w:szCs w:val="28"/>
          <w:rtl w:val="0"/>
        </w:rPr>
        <w:t xml:space="preserve">AFA Annual Meeting Expenses Worksheet</w:t>
      </w:r>
      <w:r w:rsidDel="00000000" w:rsidR="00000000" w:rsidRPr="00000000">
        <w:rPr>
          <w:rtl w:val="0"/>
        </w:rPr>
      </w:r>
    </w:p>
    <w:p w:rsidR="00000000" w:rsidDel="00000000" w:rsidP="00000000" w:rsidRDefault="00000000" w:rsidRPr="00000000" w14:paraId="00000002">
      <w:pPr>
        <w:spacing w:before="200" w:lineRule="auto"/>
        <w:rPr/>
      </w:pPr>
      <w:r w:rsidDel="00000000" w:rsidR="00000000" w:rsidRPr="00000000">
        <w:rPr>
          <w:rtl w:val="0"/>
        </w:rPr>
        <w:t xml:space="preserve">Use this worksheet to estimate the full cost of attending the 2026 AFA Annual Meeting and to support your request for institutional or organizational funding. Complete each line with your best estimate, then total the costs below.</w:t>
      </w:r>
    </w:p>
    <w:p w:rsidR="00000000" w:rsidDel="00000000" w:rsidP="00000000" w:rsidRDefault="00000000" w:rsidRPr="00000000" w14:paraId="00000003">
      <w:pPr>
        <w:pStyle w:val="Heading1"/>
        <w:spacing w:before="200" w:lineRule="auto"/>
        <w:rPr/>
      </w:pPr>
      <w:bookmarkStart w:colFirst="0" w:colLast="0" w:name="_1yv35iw65c5o" w:id="1"/>
      <w:bookmarkEnd w:id="1"/>
      <w:r w:rsidDel="00000000" w:rsidR="00000000" w:rsidRPr="00000000">
        <w:rPr>
          <w:rtl w:val="0"/>
        </w:rPr>
        <w:t xml:space="preserve">Anticipated Expenses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10"/>
        <w:gridCol w:w="1890"/>
        <w:gridCol w:w="3960"/>
        <w:tblGridChange w:id="0">
          <w:tblGrid>
            <w:gridCol w:w="3510"/>
            <w:gridCol w:w="1890"/>
            <w:gridCol w:w="3960"/>
          </w:tblGrid>
        </w:tblGridChange>
      </w:tblGrid>
      <w:tr>
        <w:trPr>
          <w:cantSplit w:val="0"/>
          <w:trHeight w:val="436.875" w:hRule="atLeast"/>
          <w:tblHeader w:val="0"/>
        </w:trPr>
        <w:tc>
          <w:tcPr>
            <w:shd w:fill="d9d9d9" w:val="clear"/>
            <w:tcMar>
              <w:top w:w="72.0" w:type="dxa"/>
              <w:left w:w="72.0" w:type="dxa"/>
              <w:bottom w:w="72.0" w:type="dxa"/>
              <w:right w:w="72.0" w:type="dxa"/>
            </w:tcMar>
          </w:tcPr>
          <w:p w:rsidR="00000000" w:rsidDel="00000000" w:rsidP="00000000" w:rsidRDefault="00000000" w:rsidRPr="00000000" w14:paraId="00000005">
            <w:pPr>
              <w:rPr>
                <w:b w:val="1"/>
                <w:bCs w:val="1"/>
              </w:rPr>
            </w:pPr>
            <w:r w:rsidDel="00000000" w:rsidR="00000000" w:rsidRPr="00000000">
              <w:rPr>
                <w:b w:val="1"/>
                <w:bCs w:val="1"/>
                <w:rtl w:val="0"/>
              </w:rPr>
              <w:t xml:space="preserve">Expense Category</w:t>
            </w:r>
          </w:p>
        </w:tc>
        <w:tc>
          <w:tcPr>
            <w:shd w:fill="d9d9d9" w:val="clear"/>
            <w:tcMar>
              <w:top w:w="72.0" w:type="dxa"/>
              <w:left w:w="72.0" w:type="dxa"/>
              <w:bottom w:w="72.0" w:type="dxa"/>
              <w:right w:w="72.0" w:type="dxa"/>
            </w:tcMar>
          </w:tcPr>
          <w:p w:rsidR="00000000" w:rsidDel="00000000" w:rsidP="00000000" w:rsidRDefault="00000000" w:rsidRPr="00000000" w14:paraId="00000006">
            <w:pPr>
              <w:rPr>
                <w:b w:val="1"/>
                <w:bCs w:val="1"/>
              </w:rPr>
            </w:pPr>
            <w:r w:rsidDel="00000000" w:rsidR="00000000" w:rsidRPr="00000000">
              <w:rPr>
                <w:b w:val="1"/>
                <w:bCs w:val="1"/>
                <w:rtl w:val="0"/>
              </w:rPr>
              <w:t xml:space="preserve">Estimated Cost</w:t>
            </w:r>
          </w:p>
        </w:tc>
        <w:tc>
          <w:tcPr>
            <w:shd w:fill="d9d9d9" w:val="clear"/>
            <w:tcMar>
              <w:top w:w="72.0" w:type="dxa"/>
              <w:left w:w="72.0" w:type="dxa"/>
              <w:bottom w:w="72.0" w:type="dxa"/>
              <w:right w:w="72.0" w:type="dxa"/>
            </w:tcMar>
          </w:tcPr>
          <w:p w:rsidR="00000000" w:rsidDel="00000000" w:rsidP="00000000" w:rsidRDefault="00000000" w:rsidRPr="00000000" w14:paraId="00000007">
            <w:pPr>
              <w:rPr>
                <w:b w:val="1"/>
                <w:bCs w:val="1"/>
              </w:rPr>
            </w:pPr>
            <w:r w:rsidDel="00000000" w:rsidR="00000000" w:rsidRPr="00000000">
              <w:rPr>
                <w:b w:val="1"/>
                <w:bCs w:val="1"/>
                <w:rtl w:val="0"/>
              </w:rPr>
              <w:t xml:space="preserve">Notes</w:t>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08">
            <w:pPr>
              <w:rPr/>
            </w:pPr>
            <w:r w:rsidDel="00000000" w:rsidR="00000000" w:rsidRPr="00000000">
              <w:rPr>
                <w:rtl w:val="0"/>
              </w:rPr>
              <w:t xml:space="preserve">Airfare</w:t>
            </w:r>
          </w:p>
        </w:tc>
        <w:tc>
          <w:tcPr>
            <w:tcMar>
              <w:top w:w="72.0" w:type="dxa"/>
              <w:left w:w="72.0" w:type="dxa"/>
              <w:bottom w:w="72.0" w:type="dxa"/>
              <w:right w:w="72.0" w:type="dxa"/>
            </w:tcMar>
          </w:tcPr>
          <w:p w:rsidR="00000000" w:rsidDel="00000000" w:rsidP="00000000" w:rsidRDefault="00000000" w:rsidRPr="00000000" w14:paraId="00000009">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0A">
            <w:pPr>
              <w:rPr/>
            </w:pPr>
            <w:r w:rsidDel="00000000" w:rsidR="00000000" w:rsidRPr="00000000">
              <w:rPr>
                <w:rtl w:val="0"/>
              </w:rPr>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0B">
            <w:pPr>
              <w:rPr/>
            </w:pPr>
            <w:r w:rsidDel="00000000" w:rsidR="00000000" w:rsidRPr="00000000">
              <w:rPr>
                <w:rtl w:val="0"/>
              </w:rPr>
              <w:t xml:space="preserve">Ground Transportation</w:t>
            </w:r>
          </w:p>
        </w:tc>
        <w:tc>
          <w:tcPr>
            <w:tcMar>
              <w:top w:w="72.0" w:type="dxa"/>
              <w:left w:w="72.0" w:type="dxa"/>
              <w:bottom w:w="72.0" w:type="dxa"/>
              <w:right w:w="72.0" w:type="dxa"/>
            </w:tcMar>
          </w:tcPr>
          <w:p w:rsidR="00000000" w:rsidDel="00000000" w:rsidP="00000000" w:rsidRDefault="00000000" w:rsidRPr="00000000" w14:paraId="0000000C">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0D">
            <w:pPr>
              <w:rPr/>
            </w:pPr>
            <w:r w:rsidDel="00000000" w:rsidR="00000000" w:rsidRPr="00000000">
              <w:rPr>
                <w:rtl w:val="0"/>
              </w:rPr>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0E">
            <w:pPr>
              <w:rPr/>
            </w:pPr>
            <w:r w:rsidDel="00000000" w:rsidR="00000000" w:rsidRPr="00000000">
              <w:rPr>
                <w:rtl w:val="0"/>
              </w:rPr>
              <w:t xml:space="preserve">Hotel</w:t>
            </w:r>
          </w:p>
        </w:tc>
        <w:tc>
          <w:tcPr>
            <w:tcMar>
              <w:top w:w="72.0" w:type="dxa"/>
              <w:left w:w="72.0" w:type="dxa"/>
              <w:bottom w:w="72.0" w:type="dxa"/>
              <w:right w:w="72.0" w:type="dxa"/>
            </w:tcMar>
          </w:tcPr>
          <w:p w:rsidR="00000000" w:rsidDel="00000000" w:rsidP="00000000" w:rsidRDefault="00000000" w:rsidRPr="00000000" w14:paraId="0000000F">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10">
            <w:pPr>
              <w:rPr/>
            </w:pPr>
            <w:r w:rsidDel="00000000" w:rsidR="00000000" w:rsidRPr="00000000">
              <w:rPr>
                <w:rtl w:val="0"/>
              </w:rPr>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11">
            <w:pPr>
              <w:rPr/>
            </w:pPr>
            <w:r w:rsidDel="00000000" w:rsidR="00000000" w:rsidRPr="00000000">
              <w:rPr>
                <w:rtl w:val="0"/>
              </w:rPr>
              <w:t xml:space="preserve">Meals and Incidentals</w:t>
            </w:r>
          </w:p>
        </w:tc>
        <w:tc>
          <w:tcPr>
            <w:tcMar>
              <w:top w:w="72.0" w:type="dxa"/>
              <w:left w:w="72.0" w:type="dxa"/>
              <w:bottom w:w="72.0" w:type="dxa"/>
              <w:right w:w="72.0" w:type="dxa"/>
            </w:tcMar>
          </w:tcPr>
          <w:p w:rsidR="00000000" w:rsidDel="00000000" w:rsidP="00000000" w:rsidRDefault="00000000" w:rsidRPr="00000000" w14:paraId="00000012">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13">
            <w:pPr>
              <w:rPr/>
            </w:pPr>
            <w:r w:rsidDel="00000000" w:rsidR="00000000" w:rsidRPr="00000000">
              <w:rPr>
                <w:rtl w:val="0"/>
              </w:rPr>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14">
            <w:pPr>
              <w:rPr/>
            </w:pPr>
            <w:r w:rsidDel="00000000" w:rsidR="00000000" w:rsidRPr="00000000">
              <w:rPr>
                <w:rtl w:val="0"/>
              </w:rPr>
              <w:t xml:space="preserve">Conference Registration</w:t>
            </w:r>
          </w:p>
        </w:tc>
        <w:tc>
          <w:tcPr>
            <w:tcMar>
              <w:top w:w="72.0" w:type="dxa"/>
              <w:left w:w="72.0" w:type="dxa"/>
              <w:bottom w:w="72.0" w:type="dxa"/>
              <w:right w:w="72.0" w:type="dxa"/>
            </w:tcMar>
          </w:tcPr>
          <w:p w:rsidR="00000000" w:rsidDel="00000000" w:rsidP="00000000" w:rsidRDefault="00000000" w:rsidRPr="00000000" w14:paraId="00000015">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16">
            <w:pPr>
              <w:rPr/>
            </w:pPr>
            <w:r w:rsidDel="00000000" w:rsidR="00000000" w:rsidRPr="00000000">
              <w:rPr>
                <w:rtl w:val="0"/>
              </w:rPr>
            </w:r>
          </w:p>
        </w:tc>
      </w:tr>
      <w:tr>
        <w:trPr>
          <w:cantSplit w:val="0"/>
          <w:trHeight w:val="436.875" w:hRule="atLeast"/>
          <w:tblHeader w:val="0"/>
        </w:trPr>
        <w:tc>
          <w:tcPr>
            <w:tcMar>
              <w:top w:w="72.0" w:type="dxa"/>
              <w:left w:w="72.0" w:type="dxa"/>
              <w:bottom w:w="72.0" w:type="dxa"/>
              <w:right w:w="72.0" w:type="dxa"/>
            </w:tcMar>
          </w:tcPr>
          <w:p w:rsidR="00000000" w:rsidDel="00000000" w:rsidP="00000000" w:rsidRDefault="00000000" w:rsidRPr="00000000" w14:paraId="00000017">
            <w:pPr>
              <w:rPr/>
            </w:pPr>
            <w:r w:rsidDel="00000000" w:rsidR="00000000" w:rsidRPr="00000000">
              <w:rPr>
                <w:rtl w:val="0"/>
              </w:rPr>
              <w:t xml:space="preserve">Add-On Experiences / Programs</w:t>
            </w:r>
          </w:p>
        </w:tc>
        <w:tc>
          <w:tcPr>
            <w:tcMar>
              <w:top w:w="72.0" w:type="dxa"/>
              <w:left w:w="72.0" w:type="dxa"/>
              <w:bottom w:w="72.0" w:type="dxa"/>
              <w:right w:w="72.0" w:type="dxa"/>
            </w:tcMar>
          </w:tcPr>
          <w:p w:rsidR="00000000" w:rsidDel="00000000" w:rsidP="00000000" w:rsidRDefault="00000000" w:rsidRPr="00000000" w14:paraId="00000018">
            <w:pPr>
              <w:rPr/>
            </w:pPr>
            <w:r w:rsidDel="00000000" w:rsidR="00000000" w:rsidRPr="00000000">
              <w:rPr>
                <w:rtl w:val="0"/>
              </w:rPr>
            </w:r>
          </w:p>
        </w:tc>
        <w:tc>
          <w:tcPr>
            <w:tcMar>
              <w:top w:w="72.0" w:type="dxa"/>
              <w:left w:w="72.0" w:type="dxa"/>
              <w:bottom w:w="72.0" w:type="dxa"/>
              <w:right w:w="72.0" w:type="dxa"/>
            </w:tcMar>
          </w:tcPr>
          <w:p w:rsidR="00000000" w:rsidDel="00000000" w:rsidP="00000000" w:rsidRDefault="00000000" w:rsidRPr="00000000" w14:paraId="00000019">
            <w:pPr>
              <w:rPr/>
            </w:pPr>
            <w:r w:rsidDel="00000000" w:rsidR="00000000" w:rsidRPr="00000000">
              <w:rPr>
                <w:rtl w:val="0"/>
              </w:rPr>
            </w:r>
          </w:p>
        </w:tc>
      </w:tr>
      <w:tr>
        <w:trPr>
          <w:cantSplit w:val="0"/>
          <w:trHeight w:val="436.875" w:hRule="atLeast"/>
          <w:tblHeader w:val="0"/>
        </w:trPr>
        <w:tc>
          <w:tcPr>
            <w:shd w:fill="d9d9d9" w:val="clear"/>
            <w:tcMar>
              <w:top w:w="72.0" w:type="dxa"/>
              <w:left w:w="72.0" w:type="dxa"/>
              <w:bottom w:w="72.0" w:type="dxa"/>
              <w:right w:w="72.0" w:type="dxa"/>
            </w:tcMar>
          </w:tcPr>
          <w:p w:rsidR="00000000" w:rsidDel="00000000" w:rsidP="00000000" w:rsidRDefault="00000000" w:rsidRPr="00000000" w14:paraId="0000001A">
            <w:pPr>
              <w:rPr>
                <w:b w:val="1"/>
                <w:bCs w:val="1"/>
              </w:rPr>
            </w:pPr>
            <w:r w:rsidDel="00000000" w:rsidR="00000000" w:rsidRPr="00000000">
              <w:rPr>
                <w:b w:val="1"/>
                <w:bCs w:val="1"/>
                <w:rtl w:val="0"/>
              </w:rPr>
              <w:t xml:space="preserve">Total Estimated Cost</w:t>
            </w:r>
          </w:p>
        </w:tc>
        <w:tc>
          <w:tcPr>
            <w:shd w:fill="d9d9d9" w:val="clear"/>
            <w:tcMar>
              <w:top w:w="72.0" w:type="dxa"/>
              <w:left w:w="72.0" w:type="dxa"/>
              <w:bottom w:w="72.0" w:type="dxa"/>
              <w:right w:w="72.0" w:type="dxa"/>
            </w:tcMar>
          </w:tcPr>
          <w:p w:rsidR="00000000" w:rsidDel="00000000" w:rsidP="00000000" w:rsidRDefault="00000000" w:rsidRPr="00000000" w14:paraId="0000001B">
            <w:pPr>
              <w:rPr/>
            </w:pPr>
            <w:r w:rsidDel="00000000" w:rsidR="00000000" w:rsidRPr="00000000">
              <w:rPr>
                <w:rtl w:val="0"/>
              </w:rPr>
              <w:t xml:space="preserve">$</w:t>
            </w:r>
          </w:p>
        </w:tc>
        <w:tc>
          <w:tcPr>
            <w:shd w:fill="d9d9d9" w:val="clear"/>
            <w:tcMar>
              <w:top w:w="72.0" w:type="dxa"/>
              <w:left w:w="72.0" w:type="dxa"/>
              <w:bottom w:w="72.0" w:type="dxa"/>
              <w:right w:w="72.0" w:type="dxa"/>
            </w:tcMar>
          </w:tcPr>
          <w:p w:rsidR="00000000" w:rsidDel="00000000" w:rsidP="00000000" w:rsidRDefault="00000000" w:rsidRPr="00000000" w14:paraId="0000001C">
            <w:pPr>
              <w:rPr/>
            </w:pPr>
            <w:r w:rsidDel="00000000" w:rsidR="00000000" w:rsidRPr="00000000">
              <w:rPr>
                <w:rtl w:val="0"/>
              </w:rPr>
            </w:r>
          </w:p>
        </w:tc>
      </w:tr>
    </w:tbl>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pStyle w:val="Heading1"/>
        <w:spacing w:before="200" w:lineRule="auto"/>
        <w:rPr/>
      </w:pPr>
      <w:bookmarkStart w:colFirst="0" w:colLast="0" w:name="_x7vgv4cf5n3d" w:id="2"/>
      <w:bookmarkEnd w:id="2"/>
      <w:r w:rsidDel="00000000" w:rsidR="00000000" w:rsidRPr="00000000">
        <w:rPr>
          <w:rtl w:val="0"/>
        </w:rPr>
        <w:t xml:space="preserve">Helpful Resources and Notes</w:t>
      </w:r>
    </w:p>
    <w:p w:rsidR="00000000" w:rsidDel="00000000" w:rsidP="00000000" w:rsidRDefault="00000000" w:rsidRPr="00000000" w14:paraId="0000001F">
      <w:pPr>
        <w:numPr>
          <w:ilvl w:val="0"/>
          <w:numId w:val="2"/>
        </w:numPr>
        <w:spacing w:before="200" w:lineRule="auto"/>
        <w:ind w:left="720" w:hanging="360"/>
        <w:rPr>
          <w:u w:val="none"/>
        </w:rPr>
      </w:pPr>
      <w:r w:rsidDel="00000000" w:rsidR="00000000" w:rsidRPr="00000000">
        <w:rPr>
          <w:b w:val="1"/>
          <w:bCs w:val="1"/>
          <w:color w:val="b31e3d"/>
          <w:rtl w:val="0"/>
        </w:rPr>
        <w:t xml:space="preserve">Airfare:</w:t>
      </w:r>
      <w:r w:rsidDel="00000000" w:rsidR="00000000" w:rsidRPr="00000000">
        <w:rPr>
          <w:rtl w:val="0"/>
        </w:rPr>
        <w:t xml:space="preserve"> Be sure to review the </w:t>
      </w:r>
      <w:hyperlink r:id="rId6">
        <w:r w:rsidDel="00000000" w:rsidR="00000000" w:rsidRPr="00000000">
          <w:rPr>
            <w:color w:val="1155cc"/>
            <w:u w:val="single"/>
            <w:rtl w:val="0"/>
          </w:rPr>
          <w:t xml:space="preserve">conference schedule</w:t>
        </w:r>
      </w:hyperlink>
      <w:hyperlink r:id="rId7">
        <w:r w:rsidDel="00000000" w:rsidR="00000000" w:rsidRPr="00000000">
          <w:rPr>
            <w:color w:val="1155cc"/>
            <w:u w:val="single"/>
            <w:rtl w:val="0"/>
          </w:rPr>
          <w:t xml:space="preserve"> </w:t>
        </w:r>
      </w:hyperlink>
      <w:r w:rsidDel="00000000" w:rsidR="00000000" w:rsidRPr="00000000">
        <w:rPr>
          <w:rtl w:val="0"/>
        </w:rPr>
        <w:t xml:space="preserve">before booking travel.</w:t>
      </w:r>
    </w:p>
    <w:p w:rsidR="00000000" w:rsidDel="00000000" w:rsidP="00000000" w:rsidRDefault="00000000" w:rsidRPr="00000000" w14:paraId="00000020">
      <w:pPr>
        <w:numPr>
          <w:ilvl w:val="0"/>
          <w:numId w:val="2"/>
        </w:numPr>
        <w:spacing w:before="200" w:lineRule="auto"/>
        <w:ind w:left="720" w:hanging="360"/>
        <w:rPr>
          <w:u w:val="none"/>
        </w:rPr>
      </w:pPr>
      <w:r w:rsidDel="00000000" w:rsidR="00000000" w:rsidRPr="00000000">
        <w:rPr>
          <w:b w:val="1"/>
          <w:bCs w:val="1"/>
          <w:color w:val="b31e3d"/>
          <w:rtl w:val="0"/>
        </w:rPr>
        <w:t xml:space="preserve">Ground Transportation:</w:t>
      </w:r>
      <w:r w:rsidDel="00000000" w:rsidR="00000000" w:rsidRPr="00000000">
        <w:rPr>
          <w:rtl w:val="0"/>
        </w:rPr>
        <w:t xml:space="preserve"> For the most accurate expense estimates, include all ground transportation costs, including rideshare/taxi to/from airport, parking fees, and personal vehicle mileage (if applicable).</w:t>
      </w:r>
    </w:p>
    <w:p w:rsidR="00000000" w:rsidDel="00000000" w:rsidP="00000000" w:rsidRDefault="00000000" w:rsidRPr="00000000" w14:paraId="00000021">
      <w:pPr>
        <w:numPr>
          <w:ilvl w:val="0"/>
          <w:numId w:val="2"/>
        </w:numPr>
        <w:spacing w:before="200" w:lineRule="auto"/>
        <w:ind w:left="720" w:hanging="360"/>
        <w:rPr>
          <w:u w:val="none"/>
        </w:rPr>
      </w:pPr>
      <w:r w:rsidDel="00000000" w:rsidR="00000000" w:rsidRPr="00000000">
        <w:rPr>
          <w:b w:val="1"/>
          <w:bCs w:val="1"/>
          <w:color w:val="b31e3d"/>
          <w:rtl w:val="0"/>
        </w:rPr>
        <w:t xml:space="preserve">Hotel:</w:t>
      </w:r>
      <w:r w:rsidDel="00000000" w:rsidR="00000000" w:rsidRPr="00000000">
        <w:rPr>
          <w:rtl w:val="0"/>
        </w:rPr>
        <w:t xml:space="preserve"> AFA has negotiated conference hotel rates. Current rates and booking information can be found at </w:t>
      </w:r>
      <w:hyperlink r:id="rId8">
        <w:r w:rsidDel="00000000" w:rsidR="00000000" w:rsidRPr="00000000">
          <w:rPr>
            <w:color w:val="1155cc"/>
            <w:u w:val="single"/>
            <w:rtl w:val="0"/>
          </w:rPr>
          <w:t xml:space="preserve">afa1976.org/annual-meeting-hotel-travel/</w:t>
        </w:r>
      </w:hyperlink>
      <w:r w:rsidDel="00000000" w:rsidR="00000000" w:rsidRPr="00000000">
        <w:rPr>
          <w:rtl w:val="0"/>
        </w:rPr>
        <w:t xml:space="preserve">. </w:t>
      </w:r>
    </w:p>
    <w:p w:rsidR="00000000" w:rsidDel="00000000" w:rsidP="00000000" w:rsidRDefault="00000000" w:rsidRPr="00000000" w14:paraId="00000022">
      <w:pPr>
        <w:numPr>
          <w:ilvl w:val="0"/>
          <w:numId w:val="2"/>
        </w:numPr>
        <w:spacing w:before="200" w:lineRule="auto"/>
        <w:ind w:left="720" w:hanging="360"/>
        <w:rPr>
          <w:u w:val="none"/>
        </w:rPr>
      </w:pPr>
      <w:r w:rsidDel="00000000" w:rsidR="00000000" w:rsidRPr="00000000">
        <w:rPr>
          <w:b w:val="1"/>
          <w:bCs w:val="1"/>
          <w:color w:val="b31e3d"/>
          <w:rtl w:val="0"/>
        </w:rPr>
        <w:t xml:space="preserve">Meals &amp; Incidentals:</w:t>
      </w:r>
      <w:r w:rsidDel="00000000" w:rsidR="00000000" w:rsidRPr="00000000">
        <w:rPr>
          <w:rtl w:val="0"/>
        </w:rPr>
        <w:t xml:space="preserve"> Conference registration includes two meals and one snack (see the “What’s Included in My Registration?” section below for additional details). For remaining meal costs, refer to your institution's or organization's per diem policy. Federal per diem rates by city are available at </w:t>
      </w:r>
      <w:hyperlink r:id="rId9">
        <w:r w:rsidDel="00000000" w:rsidR="00000000" w:rsidRPr="00000000">
          <w:rPr>
            <w:color w:val="1155cc"/>
            <w:u w:val="single"/>
            <w:rtl w:val="0"/>
          </w:rPr>
          <w:t xml:space="preserve">gsa.gov/travel/plan-book/per-diem-rates</w:t>
        </w:r>
      </w:hyperlink>
      <w:r w:rsidDel="00000000" w:rsidR="00000000" w:rsidRPr="00000000">
        <w:rPr>
          <w:rtl w:val="0"/>
        </w:rPr>
        <w:t xml:space="preserve">. </w:t>
      </w:r>
    </w:p>
    <w:p w:rsidR="00000000" w:rsidDel="00000000" w:rsidP="00000000" w:rsidRDefault="00000000" w:rsidRPr="00000000" w14:paraId="00000023">
      <w:pPr>
        <w:numPr>
          <w:ilvl w:val="0"/>
          <w:numId w:val="2"/>
        </w:numPr>
        <w:spacing w:before="200" w:lineRule="auto"/>
        <w:ind w:left="720" w:hanging="360"/>
        <w:rPr>
          <w:u w:val="none"/>
        </w:rPr>
      </w:pPr>
      <w:r w:rsidDel="00000000" w:rsidR="00000000" w:rsidRPr="00000000">
        <w:rPr>
          <w:b w:val="1"/>
          <w:bCs w:val="1"/>
          <w:color w:val="b31e3d"/>
          <w:rtl w:val="0"/>
        </w:rPr>
        <w:t xml:space="preserve">Conference Registration:</w:t>
      </w:r>
      <w:r w:rsidDel="00000000" w:rsidR="00000000" w:rsidRPr="00000000">
        <w:rPr>
          <w:rtl w:val="0"/>
        </w:rPr>
        <w:t xml:space="preserve"> Current registration rates – including member and non-member pricing – can be found at </w:t>
      </w:r>
      <w:hyperlink r:id="rId10">
        <w:r w:rsidDel="00000000" w:rsidR="00000000" w:rsidRPr="00000000">
          <w:rPr>
            <w:color w:val="1155cc"/>
            <w:u w:val="single"/>
            <w:rtl w:val="0"/>
          </w:rPr>
          <w:t xml:space="preserve">https://afa1976.org/annual-meeting/register</w:t>
        </w:r>
      </w:hyperlink>
      <w:r w:rsidDel="00000000" w:rsidR="00000000" w:rsidRPr="00000000">
        <w:rPr>
          <w:rtl w:val="0"/>
        </w:rPr>
        <w:t xml:space="preserve">. </w:t>
      </w:r>
    </w:p>
    <w:p w:rsidR="00000000" w:rsidDel="00000000" w:rsidP="00000000" w:rsidRDefault="00000000" w:rsidRPr="00000000" w14:paraId="00000024">
      <w:pPr>
        <w:numPr>
          <w:ilvl w:val="1"/>
          <w:numId w:val="2"/>
        </w:numPr>
        <w:spacing w:before="200" w:lineRule="auto"/>
        <w:ind w:left="1440" w:hanging="360"/>
        <w:rPr>
          <w:u w:val="none"/>
        </w:rPr>
      </w:pPr>
      <w:r w:rsidDel="00000000" w:rsidR="00000000" w:rsidRPr="00000000">
        <w:rPr>
          <w:b w:val="1"/>
          <w:bCs w:val="1"/>
          <w:rtl w:val="0"/>
        </w:rPr>
        <w:t xml:space="preserve">Member Savings: </w:t>
      </w:r>
      <w:r w:rsidDel="00000000" w:rsidR="00000000" w:rsidRPr="00000000">
        <w:rPr>
          <w:rtl w:val="0"/>
        </w:rPr>
        <w:t xml:space="preserve">AFA members receive discounted registration rates. Not yet a member? Visit </w:t>
      </w:r>
      <w:hyperlink r:id="rId11">
        <w:r w:rsidDel="00000000" w:rsidR="00000000" w:rsidRPr="00000000">
          <w:rPr>
            <w:color w:val="1155cc"/>
            <w:u w:val="single"/>
            <w:rtl w:val="0"/>
          </w:rPr>
          <w:t xml:space="preserve">https://afa1976.org/join-afa/</w:t>
        </w:r>
      </w:hyperlink>
      <w:r w:rsidDel="00000000" w:rsidR="00000000" w:rsidRPr="00000000">
        <w:rPr>
          <w:rtl w:val="0"/>
        </w:rPr>
        <w:t xml:space="preserve"> to learn about membership options that may reduce your total cost to attend the Annual Meeting.</w:t>
      </w:r>
    </w:p>
    <w:p w:rsidR="00000000" w:rsidDel="00000000" w:rsidP="00000000" w:rsidRDefault="00000000" w:rsidRPr="00000000" w14:paraId="00000025">
      <w:pPr>
        <w:numPr>
          <w:ilvl w:val="0"/>
          <w:numId w:val="2"/>
        </w:numPr>
        <w:spacing w:after="200" w:before="200" w:lineRule="auto"/>
        <w:ind w:left="720" w:hanging="360"/>
        <w:rPr>
          <w:u w:val="none"/>
        </w:rPr>
      </w:pPr>
      <w:r w:rsidDel="00000000" w:rsidR="00000000" w:rsidRPr="00000000">
        <w:rPr>
          <w:b w:val="1"/>
          <w:bCs w:val="1"/>
          <w:color w:val="b31e3d"/>
          <w:rtl w:val="0"/>
        </w:rPr>
        <w:t xml:space="preserve">Add-On’s (Pre-Conference Programs and Excursions):</w:t>
      </w:r>
      <w:r w:rsidDel="00000000" w:rsidR="00000000" w:rsidRPr="00000000">
        <w:rPr>
          <w:rtl w:val="0"/>
        </w:rPr>
        <w:t xml:space="preserve"> Add-on program offerings and registration information can be found on the Annual Meeting registration page: </w:t>
      </w:r>
      <w:hyperlink r:id="rId12">
        <w:r w:rsidDel="00000000" w:rsidR="00000000" w:rsidRPr="00000000">
          <w:rPr>
            <w:color w:val="1155cc"/>
            <w:u w:val="single"/>
            <w:rtl w:val="0"/>
          </w:rPr>
          <w:t xml:space="preserve">https://afa1976.org/annual-meeting/register</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6">
      <w:pPr>
        <w:pStyle w:val="Heading1"/>
        <w:spacing w:after="200" w:before="200" w:lineRule="auto"/>
        <w:rPr/>
      </w:pPr>
      <w:bookmarkStart w:colFirst="0" w:colLast="0" w:name="_bhmpityu5gxp" w:id="3"/>
      <w:bookmarkEnd w:id="3"/>
      <w:r w:rsidDel="00000000" w:rsidR="00000000" w:rsidRPr="00000000">
        <w:rPr>
          <w:rtl w:val="0"/>
        </w:rPr>
        <w:t xml:space="preserve">What’s Included in My Registration?</w:t>
      </w:r>
    </w:p>
    <w:p w:rsidR="00000000" w:rsidDel="00000000" w:rsidP="00000000" w:rsidRDefault="00000000" w:rsidRPr="00000000" w14:paraId="00000027">
      <w:pPr>
        <w:spacing w:before="200" w:lineRule="auto"/>
        <w:rPr/>
      </w:pPr>
      <w:r w:rsidDel="00000000" w:rsidR="00000000" w:rsidRPr="00000000">
        <w:rPr>
          <w:rtl w:val="0"/>
        </w:rPr>
        <w:t xml:space="preserve">Full conference registration provides access to:</w:t>
      </w:r>
    </w:p>
    <w:p w:rsidR="00000000" w:rsidDel="00000000" w:rsidP="00000000" w:rsidRDefault="00000000" w:rsidRPr="00000000" w14:paraId="00000028">
      <w:pPr>
        <w:numPr>
          <w:ilvl w:val="0"/>
          <w:numId w:val="1"/>
        </w:numPr>
        <w:spacing w:after="0" w:before="240" w:lineRule="auto"/>
        <w:ind w:left="720" w:hanging="360"/>
        <w:rPr/>
      </w:pPr>
      <w:r w:rsidDel="00000000" w:rsidR="00000000" w:rsidRPr="00000000">
        <w:rPr>
          <w:rtl w:val="0"/>
        </w:rPr>
        <w:t xml:space="preserve">Approximately 15 hours of education, including:</w:t>
      </w:r>
    </w:p>
    <w:p w:rsidR="00000000" w:rsidDel="00000000" w:rsidP="00000000" w:rsidRDefault="00000000" w:rsidRPr="00000000" w14:paraId="00000029">
      <w:pPr>
        <w:numPr>
          <w:ilvl w:val="1"/>
          <w:numId w:val="1"/>
        </w:numPr>
        <w:spacing w:after="0" w:before="0" w:lineRule="auto"/>
        <w:ind w:left="1440" w:hanging="360"/>
        <w:rPr/>
      </w:pPr>
      <w:r w:rsidDel="00000000" w:rsidR="00000000" w:rsidRPr="00000000">
        <w:rPr>
          <w:rtl w:val="0"/>
        </w:rPr>
        <w:t xml:space="preserve">100+ educational sessions to choose from including position- and topic-specific educational intensive sessions</w:t>
      </w:r>
    </w:p>
    <w:p w:rsidR="00000000" w:rsidDel="00000000" w:rsidP="00000000" w:rsidRDefault="00000000" w:rsidRPr="00000000" w14:paraId="0000002A">
      <w:pPr>
        <w:numPr>
          <w:ilvl w:val="1"/>
          <w:numId w:val="1"/>
        </w:numPr>
        <w:spacing w:after="0" w:before="0" w:lineRule="auto"/>
        <w:ind w:left="1440" w:hanging="360"/>
        <w:rPr/>
      </w:pPr>
      <w:r w:rsidDel="00000000" w:rsidR="00000000" w:rsidRPr="00000000">
        <w:rPr>
          <w:rtl w:val="0"/>
        </w:rPr>
        <w:t xml:space="preserve">Two general sessions with keynotes</w:t>
      </w:r>
    </w:p>
    <w:p w:rsidR="00000000" w:rsidDel="00000000" w:rsidP="00000000" w:rsidRDefault="00000000" w:rsidRPr="00000000" w14:paraId="0000002B">
      <w:pPr>
        <w:numPr>
          <w:ilvl w:val="1"/>
          <w:numId w:val="1"/>
        </w:numPr>
        <w:spacing w:after="0" w:before="0" w:lineRule="auto"/>
        <w:ind w:left="1440" w:hanging="360"/>
        <w:rPr/>
      </w:pPr>
      <w:r w:rsidDel="00000000" w:rsidR="00000000" w:rsidRPr="00000000">
        <w:rPr>
          <w:rtl w:val="0"/>
        </w:rPr>
        <w:t xml:space="preserve">~5-10 Learning Lab sessions with Educational Partners</w:t>
      </w:r>
    </w:p>
    <w:p w:rsidR="00000000" w:rsidDel="00000000" w:rsidP="00000000" w:rsidRDefault="00000000" w:rsidRPr="00000000" w14:paraId="0000002C">
      <w:pPr>
        <w:numPr>
          <w:ilvl w:val="1"/>
          <w:numId w:val="1"/>
        </w:numPr>
        <w:spacing w:after="0" w:before="0" w:lineRule="auto"/>
        <w:ind w:left="1440" w:hanging="360"/>
        <w:rPr/>
      </w:pPr>
      <w:r w:rsidDel="00000000" w:rsidR="00000000" w:rsidRPr="00000000">
        <w:rPr>
          <w:rtl w:val="0"/>
        </w:rPr>
        <w:t xml:space="preserve">Opportunities to learn from institutions/organizations driving elevation in practice in the profession</w:t>
      </w:r>
    </w:p>
    <w:p w:rsidR="00000000" w:rsidDel="00000000" w:rsidP="00000000" w:rsidRDefault="00000000" w:rsidRPr="00000000" w14:paraId="0000002D">
      <w:pPr>
        <w:numPr>
          <w:ilvl w:val="0"/>
          <w:numId w:val="1"/>
        </w:numPr>
        <w:spacing w:after="0" w:before="200" w:lineRule="auto"/>
        <w:ind w:left="720" w:hanging="360"/>
        <w:rPr/>
      </w:pPr>
      <w:r w:rsidDel="00000000" w:rsidR="00000000" w:rsidRPr="00000000">
        <w:rPr>
          <w:rtl w:val="0"/>
        </w:rPr>
        <w:t xml:space="preserve">Approximately 10 hours of networking through opportunities such as the Exchange and Deep Dive Discussions</w:t>
      </w:r>
    </w:p>
    <w:p w:rsidR="00000000" w:rsidDel="00000000" w:rsidP="00000000" w:rsidRDefault="00000000" w:rsidRPr="00000000" w14:paraId="0000002E">
      <w:pPr>
        <w:numPr>
          <w:ilvl w:val="0"/>
          <w:numId w:val="1"/>
        </w:numPr>
        <w:spacing w:after="0" w:before="200" w:lineRule="auto"/>
        <w:ind w:left="720" w:hanging="360"/>
        <w:rPr/>
      </w:pPr>
      <w:r w:rsidDel="00000000" w:rsidR="00000000" w:rsidRPr="00000000">
        <w:rPr>
          <w:rtl w:val="0"/>
        </w:rPr>
        <w:t xml:space="preserve">Opportunities to hear from and meet with Umbrella Association representatives</w:t>
      </w:r>
    </w:p>
    <w:p w:rsidR="00000000" w:rsidDel="00000000" w:rsidP="00000000" w:rsidRDefault="00000000" w:rsidRPr="00000000" w14:paraId="0000002F">
      <w:pPr>
        <w:numPr>
          <w:ilvl w:val="0"/>
          <w:numId w:val="1"/>
        </w:numPr>
        <w:spacing w:after="0" w:before="200" w:lineRule="auto"/>
        <w:ind w:left="720" w:hanging="360"/>
        <w:rPr/>
      </w:pPr>
      <w:r w:rsidDel="00000000" w:rsidR="00000000" w:rsidRPr="00000000">
        <w:rPr>
          <w:rtl w:val="0"/>
        </w:rPr>
        <w:t xml:space="preserve">Two meals and one snack break, including the Awards Presentation and Industry Celebration Banquet</w:t>
      </w:r>
    </w:p>
    <w:p w:rsidR="00000000" w:rsidDel="00000000" w:rsidP="00000000" w:rsidRDefault="00000000" w:rsidRPr="00000000" w14:paraId="00000030">
      <w:pPr>
        <w:numPr>
          <w:ilvl w:val="0"/>
          <w:numId w:val="1"/>
        </w:numPr>
        <w:spacing w:after="0" w:before="240" w:lineRule="auto"/>
        <w:ind w:left="720" w:hanging="360"/>
        <w:rPr/>
      </w:pPr>
      <w:r w:rsidDel="00000000" w:rsidR="00000000" w:rsidRPr="00000000">
        <w:rPr>
          <w:rtl w:val="0"/>
        </w:rPr>
        <w:t xml:space="preserve">Special 50th Anniversary programming that celebrates the evolution of the fraternity/sorority profession and shares opportunities for continued practice, research, and innovation</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1"/>
        <w:spacing w:after="200" w:lineRule="auto"/>
        <w:rPr/>
      </w:pPr>
      <w:bookmarkStart w:colFirst="0" w:colLast="0" w:name="_7jaz0d9nlt0e" w:id="4"/>
      <w:bookmarkEnd w:id="4"/>
      <w:r w:rsidDel="00000000" w:rsidR="00000000" w:rsidRPr="00000000">
        <w:rPr>
          <w:rtl w:val="0"/>
        </w:rPr>
        <w:t xml:space="preserve">Demonstrating Return on Investment</w:t>
      </w:r>
    </w:p>
    <w:p w:rsidR="00000000" w:rsidDel="00000000" w:rsidP="00000000" w:rsidRDefault="00000000" w:rsidRPr="00000000" w14:paraId="00000033">
      <w:pPr>
        <w:rPr/>
      </w:pPr>
      <w:r w:rsidDel="00000000" w:rsidR="00000000" w:rsidRPr="00000000">
        <w:rPr>
          <w:rtl w:val="0"/>
        </w:rPr>
        <w:t xml:space="preserve">When presenting a total cost estimate to a supervisor or budget decision-maker, consider contextualizing the investment by noting:</w:t>
      </w:r>
    </w:p>
    <w:p w:rsidR="00000000" w:rsidDel="00000000" w:rsidP="00000000" w:rsidRDefault="00000000" w:rsidRPr="00000000" w14:paraId="00000034">
      <w:pPr>
        <w:numPr>
          <w:ilvl w:val="0"/>
          <w:numId w:val="3"/>
        </w:numPr>
        <w:spacing w:before="200" w:lineRule="auto"/>
        <w:ind w:left="720" w:hanging="360"/>
        <w:rPr>
          <w:u w:val="none"/>
        </w:rPr>
      </w:pPr>
      <w:r w:rsidDel="00000000" w:rsidR="00000000" w:rsidRPr="00000000">
        <w:rPr>
          <w:rtl w:val="0"/>
        </w:rPr>
        <w:t xml:space="preserve">The AFA Annual Meeting is the single largest professional development opportunity in the fraternity/sorority profession, with over 1,000 professionals attending each year – including ~75% of AFA's total membership.</w:t>
      </w:r>
    </w:p>
    <w:p w:rsidR="00000000" w:rsidDel="00000000" w:rsidP="00000000" w:rsidRDefault="00000000" w:rsidRPr="00000000" w14:paraId="00000035">
      <w:pPr>
        <w:numPr>
          <w:ilvl w:val="0"/>
          <w:numId w:val="3"/>
        </w:numPr>
        <w:spacing w:before="200" w:lineRule="auto"/>
        <w:ind w:left="720" w:hanging="360"/>
      </w:pPr>
      <w:r w:rsidDel="00000000" w:rsidR="00000000" w:rsidRPr="00000000">
        <w:rPr>
          <w:rtl w:val="0"/>
        </w:rPr>
        <w:t xml:space="preserve">Full conference registration provides access to multiple days of education, networking, and professional development that would cost significantly more if pursued through separate individual programs.</w:t>
      </w:r>
    </w:p>
    <w:p w:rsidR="00000000" w:rsidDel="00000000" w:rsidP="00000000" w:rsidRDefault="00000000" w:rsidRPr="00000000" w14:paraId="00000036">
      <w:pPr>
        <w:numPr>
          <w:ilvl w:val="0"/>
          <w:numId w:val="3"/>
        </w:numPr>
        <w:spacing w:after="0" w:before="200" w:lineRule="auto"/>
        <w:ind w:left="720" w:hanging="360"/>
        <w:rPr>
          <w:u w:val="none"/>
        </w:rPr>
      </w:pPr>
      <w:r w:rsidDel="00000000" w:rsidR="00000000" w:rsidRPr="00000000">
        <w:rPr>
          <w:rtl w:val="0"/>
        </w:rPr>
        <w:t xml:space="preserve">The cost of attendance at the AFA Annual Meeting is typically lower than comparable professional development conferences in higher education, particularly given the breadth and depth of programming offered.</w:t>
      </w:r>
    </w:p>
    <w:p w:rsidR="00000000" w:rsidDel="00000000" w:rsidP="00000000" w:rsidRDefault="00000000" w:rsidRPr="00000000" w14:paraId="00000037">
      <w:pPr>
        <w:numPr>
          <w:ilvl w:val="0"/>
          <w:numId w:val="3"/>
        </w:numPr>
        <w:spacing w:before="200" w:lineRule="auto"/>
        <w:ind w:left="720" w:hanging="360"/>
        <w:rPr>
          <w:u w:val="none"/>
        </w:rPr>
      </w:pPr>
      <w:r w:rsidDel="00000000" w:rsidR="00000000" w:rsidRPr="00000000">
        <w:rPr>
          <w:rtl w:val="0"/>
        </w:rPr>
        <w:t xml:space="preserve">AFA members who attend the Annual Meeting renew their membership at substantially higher rates than those who do not attend, meaning participation in the Annual Meeting can have lasting impacts on professional engagement.</w:t>
      </w:r>
    </w:p>
    <w:sectPr>
      <w:footerReference r:id="rId13" w:type="default"/>
      <w:pgSz w:h="15840" w:w="12240" w:orient="portrait"/>
      <w:pgMar w:bottom="1296" w:top="1296" w:left="1296" w:right="1296" w:header="72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tabs>
        <w:tab w:val="center" w:leader="none" w:pos="4680"/>
        <w:tab w:val="right" w:leader="none" w:pos="9360"/>
      </w:tabs>
      <w:spacing w:line="240" w:lineRule="auto"/>
      <w:rPr/>
    </w:pPr>
    <w:r w:rsidDel="00000000" w:rsidR="00000000" w:rsidRPr="00000000">
      <w:rPr>
        <w:rFonts w:ascii="Calibri" w:cs="Calibri" w:eastAsia="Calibri" w:hAnsi="Calibri"/>
      </w:rPr>
      <w:drawing>
        <wp:inline distB="0" distT="0" distL="0" distR="0">
          <wp:extent cx="5943600" cy="489773"/>
          <wp:effectExtent b="0" l="0" r="0" t="0"/>
          <wp:docPr descr="A close up of a logo&#10;&#10;Description automatically generated" id="1" name="image1.png"/>
          <a:graphic>
            <a:graphicData uri="http://schemas.openxmlformats.org/drawingml/2006/picture">
              <pic:pic>
                <pic:nvPicPr>
                  <pic:cNvPr descr="A close up of a logo&#10;&#10;Description automatically generated" id="0" name="image1.png"/>
                  <pic:cNvPicPr preferRelativeResize="0"/>
                </pic:nvPicPr>
                <pic:blipFill>
                  <a:blip r:embed="rId1"/>
                  <a:srcRect b="0" l="0" r="3473" t="0"/>
                  <a:stretch>
                    <a:fillRect/>
                  </a:stretch>
                </pic:blipFill>
                <pic:spPr>
                  <a:xfrm>
                    <a:off x="0" y="0"/>
                    <a:ext cx="5943600" cy="48977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00" w:lineRule="auto"/>
    </w:pPr>
    <w:rPr>
      <w:b w:val="1"/>
      <w:bCs w:val="1"/>
      <w:sz w:val="24"/>
      <w:szCs w:val="24"/>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fa1976.org/join-afa/" TargetMode="External"/><Relationship Id="rId10" Type="http://schemas.openxmlformats.org/officeDocument/2006/relationships/hyperlink" Target="https://afa1976.org/annual-meeting/register" TargetMode="External"/><Relationship Id="rId13" Type="http://schemas.openxmlformats.org/officeDocument/2006/relationships/footer" Target="footer1.xml"/><Relationship Id="rId12" Type="http://schemas.openxmlformats.org/officeDocument/2006/relationships/hyperlink" Target="https://afa1976.org/annual-meeting/regis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sa.gov/travel/plan-book/per-diem-rates" TargetMode="External"/><Relationship Id="rId5" Type="http://schemas.openxmlformats.org/officeDocument/2006/relationships/styles" Target="styles.xml"/><Relationship Id="rId6" Type="http://schemas.openxmlformats.org/officeDocument/2006/relationships/hyperlink" Target="http://afa1976.org/annual-meeting/schedule/" TargetMode="External"/><Relationship Id="rId7" Type="http://schemas.openxmlformats.org/officeDocument/2006/relationships/hyperlink" Target="http://afa1976.org/annual-meeting/schedule/" TargetMode="External"/><Relationship Id="rId8" Type="http://schemas.openxmlformats.org/officeDocument/2006/relationships/hyperlink" Target="http://afa1976.org/annual-meeting-hotel-trave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